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97CCD" w14:textId="327C2AF3" w:rsidR="005D6D73" w:rsidRDefault="002018AE" w:rsidP="007E236C">
      <w:pPr>
        <w:pStyle w:val="Headline"/>
        <w:rPr>
          <w:lang w:val="cs-CZ"/>
        </w:rPr>
      </w:pPr>
      <w:bookmarkStart w:id="0" w:name="_GoBack"/>
      <w:bookmarkEnd w:id="0"/>
      <w:r w:rsidRPr="002018AE">
        <w:rPr>
          <w:lang w:val="cs-CZ"/>
        </w:rPr>
        <w:t>Analýza CBRE: Zelené certifikace kancelářských budov pozitivn</w:t>
      </w:r>
      <w:r w:rsidR="005D0F4B">
        <w:rPr>
          <w:lang w:val="cs-CZ"/>
        </w:rPr>
        <w:t xml:space="preserve">ě ovlivňují jejich obsazenost a přinášejí vyšší výnosy z </w:t>
      </w:r>
      <w:r w:rsidRPr="002018AE">
        <w:rPr>
          <w:lang w:val="cs-CZ"/>
        </w:rPr>
        <w:t>nájmu</w:t>
      </w:r>
    </w:p>
    <w:p w14:paraId="698BD7FB" w14:textId="77777777" w:rsidR="002018AE" w:rsidRPr="003E0B69" w:rsidRDefault="002018AE" w:rsidP="007E236C">
      <w:pPr>
        <w:pStyle w:val="Headline"/>
        <w:rPr>
          <w:lang w:val="cs-CZ"/>
        </w:rPr>
      </w:pPr>
    </w:p>
    <w:p w14:paraId="3FB3915F" w14:textId="798C2C7A" w:rsidR="001C31F4" w:rsidRDefault="00BA3ACA" w:rsidP="001C31F4">
      <w:pPr>
        <w:pStyle w:val="BodyCopy"/>
        <w:rPr>
          <w:lang w:val="cs-CZ"/>
        </w:rPr>
      </w:pPr>
      <w:r w:rsidRPr="00226900">
        <w:rPr>
          <w:b/>
          <w:bCs/>
          <w:lang w:val="cs-CZ"/>
        </w:rPr>
        <w:t>Praha</w:t>
      </w:r>
      <w:r w:rsidR="00E30CD4" w:rsidRPr="00226900">
        <w:rPr>
          <w:b/>
          <w:bCs/>
          <w:lang w:val="cs-CZ"/>
        </w:rPr>
        <w:t xml:space="preserve"> </w:t>
      </w:r>
      <w:r w:rsidR="00C63036" w:rsidRPr="00226900">
        <w:rPr>
          <w:b/>
          <w:bCs/>
          <w:lang w:val="cs-CZ"/>
        </w:rPr>
        <w:t>–</w:t>
      </w:r>
      <w:r w:rsidR="00E30CD4" w:rsidRPr="00226900">
        <w:rPr>
          <w:b/>
          <w:bCs/>
          <w:lang w:val="cs-CZ"/>
        </w:rPr>
        <w:t xml:space="preserve"> </w:t>
      </w:r>
      <w:r w:rsidR="00510097">
        <w:rPr>
          <w:b/>
          <w:bCs/>
          <w:lang w:val="cs-CZ"/>
        </w:rPr>
        <w:t>6</w:t>
      </w:r>
      <w:r w:rsidR="00E166FC">
        <w:rPr>
          <w:b/>
          <w:bCs/>
          <w:lang w:val="cs-CZ"/>
        </w:rPr>
        <w:t>. prosince</w:t>
      </w:r>
      <w:r w:rsidR="00E30CD4" w:rsidRPr="00226900">
        <w:rPr>
          <w:b/>
          <w:bCs/>
          <w:lang w:val="cs-CZ"/>
        </w:rPr>
        <w:t xml:space="preserve"> </w:t>
      </w:r>
      <w:r w:rsidR="00E53CA1" w:rsidRPr="00226900">
        <w:rPr>
          <w:b/>
          <w:bCs/>
          <w:lang w:val="cs-CZ"/>
        </w:rPr>
        <w:t>202</w:t>
      </w:r>
      <w:r w:rsidR="000D2114">
        <w:rPr>
          <w:b/>
          <w:bCs/>
          <w:lang w:val="cs-CZ"/>
        </w:rPr>
        <w:t>2</w:t>
      </w:r>
      <w:r w:rsidR="00E30CD4" w:rsidRPr="003E0B69">
        <w:rPr>
          <w:b/>
          <w:bCs/>
          <w:lang w:val="cs-CZ"/>
        </w:rPr>
        <w:t xml:space="preserve"> </w:t>
      </w:r>
      <w:r w:rsidR="00C63036" w:rsidRPr="003E0B69">
        <w:rPr>
          <w:lang w:val="cs-CZ"/>
        </w:rPr>
        <w:t>–</w:t>
      </w:r>
      <w:r w:rsidR="00744015">
        <w:rPr>
          <w:lang w:val="cs-CZ"/>
        </w:rPr>
        <w:t xml:space="preserve"> </w:t>
      </w:r>
      <w:r w:rsidR="001C31F4" w:rsidRPr="00130C4F">
        <w:rPr>
          <w:lang w:val="cs-CZ"/>
        </w:rPr>
        <w:t xml:space="preserve">Společnost CBRE, světový lídr v oblasti komerčních realitních služeb, </w:t>
      </w:r>
      <w:r w:rsidR="005D0F4B">
        <w:rPr>
          <w:lang w:val="cs-CZ"/>
        </w:rPr>
        <w:t>shrn</w:t>
      </w:r>
      <w:r w:rsidR="00EC18D9" w:rsidRPr="00130C4F">
        <w:rPr>
          <w:lang w:val="cs-CZ"/>
        </w:rPr>
        <w:t>uje</w:t>
      </w:r>
      <w:r w:rsidR="001C31F4" w:rsidRPr="00130C4F">
        <w:rPr>
          <w:lang w:val="cs-CZ"/>
        </w:rPr>
        <w:t xml:space="preserve"> výsledky </w:t>
      </w:r>
      <w:r w:rsidR="008A49D2" w:rsidRPr="00130C4F">
        <w:rPr>
          <w:lang w:val="cs-CZ"/>
        </w:rPr>
        <w:t xml:space="preserve">rozsáhlé </w:t>
      </w:r>
      <w:r w:rsidR="00130C4F">
        <w:rPr>
          <w:lang w:val="cs-CZ"/>
        </w:rPr>
        <w:t xml:space="preserve">komparativní </w:t>
      </w:r>
      <w:r w:rsidR="001C31F4" w:rsidRPr="00130C4F">
        <w:rPr>
          <w:lang w:val="cs-CZ"/>
        </w:rPr>
        <w:t>analýzy</w:t>
      </w:r>
      <w:r w:rsidR="008A49D2" w:rsidRPr="00130C4F">
        <w:rPr>
          <w:lang w:val="cs-CZ"/>
        </w:rPr>
        <w:t xml:space="preserve"> zaměřené </w:t>
      </w:r>
      <w:r w:rsidR="0099088C" w:rsidRPr="0099088C">
        <w:rPr>
          <w:lang w:val="cs-CZ"/>
        </w:rPr>
        <w:t xml:space="preserve">na benefity zelených certifikací v rámci kancelářských pronájmů. </w:t>
      </w:r>
      <w:r w:rsidR="008A49D2" w:rsidRPr="00130C4F">
        <w:rPr>
          <w:lang w:val="cs-CZ"/>
        </w:rPr>
        <w:t xml:space="preserve">Na vzorku </w:t>
      </w:r>
      <w:r w:rsidR="0099088C" w:rsidRPr="002337B4">
        <w:rPr>
          <w:noProof/>
          <w:lang w:val="cs-CZ"/>
        </w:rPr>
        <w:t xml:space="preserve">58 </w:t>
      </w:r>
      <w:r w:rsidR="0099088C">
        <w:rPr>
          <w:noProof/>
          <w:lang w:val="cs-CZ"/>
        </w:rPr>
        <w:t>m</w:t>
      </w:r>
      <w:r w:rsidR="0099088C" w:rsidRPr="002337B4">
        <w:rPr>
          <w:noProof/>
          <w:lang w:val="cs-CZ"/>
        </w:rPr>
        <w:t>iliónů m</w:t>
      </w:r>
      <w:r w:rsidR="0099088C" w:rsidRPr="0099088C">
        <w:rPr>
          <w:noProof/>
          <w:vertAlign w:val="superscript"/>
          <w:lang w:val="cs-CZ"/>
        </w:rPr>
        <w:t>2</w:t>
      </w:r>
      <w:r w:rsidR="0099088C" w:rsidRPr="002337B4">
        <w:rPr>
          <w:noProof/>
          <w:lang w:val="cs-CZ"/>
        </w:rPr>
        <w:t xml:space="preserve"> kancelářských ploch</w:t>
      </w:r>
      <w:r w:rsidR="0099088C">
        <w:rPr>
          <w:lang w:val="cs-CZ"/>
        </w:rPr>
        <w:t xml:space="preserve"> a </w:t>
      </w:r>
      <w:r w:rsidR="005D0F4B">
        <w:rPr>
          <w:lang w:val="cs-CZ"/>
        </w:rPr>
        <w:t>44 500 </w:t>
      </w:r>
      <w:r w:rsidR="008A49D2" w:rsidRPr="00130C4F">
        <w:rPr>
          <w:lang w:val="cs-CZ"/>
        </w:rPr>
        <w:t xml:space="preserve">nájemních </w:t>
      </w:r>
      <w:r w:rsidR="001C31F4" w:rsidRPr="00130C4F">
        <w:rPr>
          <w:lang w:val="cs-CZ"/>
        </w:rPr>
        <w:t>smluv</w:t>
      </w:r>
      <w:r w:rsidR="008A49D2" w:rsidRPr="00130C4F">
        <w:rPr>
          <w:lang w:val="cs-CZ"/>
        </w:rPr>
        <w:t xml:space="preserve"> uzavřených </w:t>
      </w:r>
      <w:r w:rsidR="00DE3E1B" w:rsidRPr="00130C4F">
        <w:rPr>
          <w:lang w:val="cs-CZ"/>
        </w:rPr>
        <w:t xml:space="preserve">v 18 evropských státech včetně </w:t>
      </w:r>
      <w:r w:rsidR="006D7BBB">
        <w:rPr>
          <w:lang w:val="cs-CZ"/>
        </w:rPr>
        <w:t>tuzemska</w:t>
      </w:r>
      <w:r w:rsidR="008A49D2" w:rsidRPr="00130C4F">
        <w:rPr>
          <w:lang w:val="cs-CZ"/>
        </w:rPr>
        <w:t xml:space="preserve"> u</w:t>
      </w:r>
      <w:r w:rsidR="00A74C94" w:rsidRPr="00130C4F">
        <w:rPr>
          <w:lang w:val="cs-CZ"/>
        </w:rPr>
        <w:t>kazuje</w:t>
      </w:r>
      <w:r w:rsidR="001C31F4" w:rsidRPr="00130C4F">
        <w:rPr>
          <w:lang w:val="cs-CZ"/>
        </w:rPr>
        <w:t>, jak</w:t>
      </w:r>
      <w:r w:rsidR="00EC18D9" w:rsidRPr="00130C4F">
        <w:rPr>
          <w:lang w:val="cs-CZ"/>
        </w:rPr>
        <w:t>é</w:t>
      </w:r>
      <w:r w:rsidR="001C31F4" w:rsidRPr="00130C4F">
        <w:rPr>
          <w:lang w:val="cs-CZ"/>
        </w:rPr>
        <w:t xml:space="preserve"> </w:t>
      </w:r>
      <w:r w:rsidR="005D0F4B">
        <w:rPr>
          <w:lang w:val="cs-CZ"/>
        </w:rPr>
        <w:t>zhodnocení přinášejí</w:t>
      </w:r>
      <w:r w:rsidR="00EC18D9" w:rsidRPr="00130C4F">
        <w:rPr>
          <w:lang w:val="cs-CZ"/>
        </w:rPr>
        <w:t xml:space="preserve"> zelené</w:t>
      </w:r>
      <w:r w:rsidR="001C31F4" w:rsidRPr="00130C4F">
        <w:rPr>
          <w:lang w:val="cs-CZ"/>
        </w:rPr>
        <w:t xml:space="preserve"> certifikace </w:t>
      </w:r>
      <w:r w:rsidR="00DE3E1B" w:rsidRPr="00130C4F">
        <w:rPr>
          <w:lang w:val="cs-CZ"/>
        </w:rPr>
        <w:t xml:space="preserve">jako třeba BREEAM či LEED vlastníkům </w:t>
      </w:r>
      <w:r w:rsidR="008A49D2" w:rsidRPr="00130C4F">
        <w:rPr>
          <w:lang w:val="cs-CZ"/>
        </w:rPr>
        <w:t xml:space="preserve">administrativních </w:t>
      </w:r>
      <w:r w:rsidR="00561FC2" w:rsidRPr="00130C4F">
        <w:rPr>
          <w:lang w:val="cs-CZ"/>
        </w:rPr>
        <w:t>nemovitostí</w:t>
      </w:r>
      <w:r w:rsidR="00EC18D9" w:rsidRPr="00130C4F">
        <w:rPr>
          <w:lang w:val="cs-CZ"/>
        </w:rPr>
        <w:t xml:space="preserve">. </w:t>
      </w:r>
      <w:r w:rsidR="006A06E4" w:rsidRPr="00130C4F">
        <w:rPr>
          <w:lang w:val="cs-CZ"/>
        </w:rPr>
        <w:t>Na</w:t>
      </w:r>
      <w:r w:rsidR="006F3404">
        <w:rPr>
          <w:lang w:val="cs-CZ"/>
        </w:rPr>
        <w:t> </w:t>
      </w:r>
      <w:r w:rsidR="006A06E4" w:rsidRPr="00130C4F">
        <w:rPr>
          <w:lang w:val="cs-CZ"/>
        </w:rPr>
        <w:t>základě</w:t>
      </w:r>
      <w:r w:rsidR="00EC18D9" w:rsidRPr="00130C4F">
        <w:rPr>
          <w:lang w:val="cs-CZ"/>
        </w:rPr>
        <w:t xml:space="preserve"> </w:t>
      </w:r>
      <w:r w:rsidR="00EC18D9" w:rsidRPr="00105BAA">
        <w:rPr>
          <w:lang w:val="cs-CZ"/>
        </w:rPr>
        <w:t>srovnán</w:t>
      </w:r>
      <w:r w:rsidR="0099088C" w:rsidRPr="00105BAA">
        <w:rPr>
          <w:lang w:val="cs-CZ"/>
        </w:rPr>
        <w:t xml:space="preserve">í několika klíčových ukazatelů </w:t>
      </w:r>
      <w:r w:rsidR="006A06E4" w:rsidRPr="00105BAA">
        <w:rPr>
          <w:lang w:val="cs-CZ"/>
        </w:rPr>
        <w:t>CBRE prokázala, že průměrná míra neobsazenosti je</w:t>
      </w:r>
      <w:r w:rsidR="00B803AF" w:rsidRPr="00105BAA">
        <w:rPr>
          <w:lang w:val="cs-CZ"/>
        </w:rPr>
        <w:t> </w:t>
      </w:r>
      <w:r w:rsidR="006A06E4" w:rsidRPr="00105BAA">
        <w:rPr>
          <w:lang w:val="cs-CZ"/>
        </w:rPr>
        <w:t>v</w:t>
      </w:r>
      <w:r w:rsidR="00B803AF" w:rsidRPr="00105BAA">
        <w:rPr>
          <w:lang w:val="cs-CZ"/>
        </w:rPr>
        <w:t> </w:t>
      </w:r>
      <w:r w:rsidR="006A06E4" w:rsidRPr="00105BAA">
        <w:rPr>
          <w:lang w:val="cs-CZ"/>
        </w:rPr>
        <w:t>certifikovaných budovách o téměř 2 % nižší</w:t>
      </w:r>
      <w:r w:rsidR="002018AE" w:rsidRPr="00105BAA">
        <w:rPr>
          <w:lang w:val="cs-CZ"/>
        </w:rPr>
        <w:t xml:space="preserve"> než</w:t>
      </w:r>
      <w:r w:rsidR="006F3404" w:rsidRPr="00105BAA">
        <w:rPr>
          <w:lang w:val="cs-CZ"/>
        </w:rPr>
        <w:t> </w:t>
      </w:r>
      <w:r w:rsidR="002018AE" w:rsidRPr="00105BAA">
        <w:rPr>
          <w:lang w:val="cs-CZ"/>
        </w:rPr>
        <w:t>u necertifikované konkurence</w:t>
      </w:r>
      <w:r w:rsidR="006A06E4" w:rsidRPr="00105BAA">
        <w:rPr>
          <w:lang w:val="cs-CZ"/>
        </w:rPr>
        <w:t>,</w:t>
      </w:r>
      <w:r w:rsidR="00EC18D9" w:rsidRPr="00105BAA">
        <w:rPr>
          <w:lang w:val="cs-CZ"/>
        </w:rPr>
        <w:t xml:space="preserve"> </w:t>
      </w:r>
      <w:r w:rsidR="006A06E4" w:rsidRPr="00105BAA">
        <w:rPr>
          <w:lang w:val="cs-CZ"/>
        </w:rPr>
        <w:t>zatímco</w:t>
      </w:r>
      <w:r w:rsidR="001C31F4" w:rsidRPr="00105BAA">
        <w:rPr>
          <w:lang w:val="cs-CZ"/>
        </w:rPr>
        <w:t xml:space="preserve"> cen</w:t>
      </w:r>
      <w:r w:rsidR="006A06E4" w:rsidRPr="00105BAA">
        <w:rPr>
          <w:lang w:val="cs-CZ"/>
        </w:rPr>
        <w:t>a</w:t>
      </w:r>
      <w:r w:rsidR="001C31F4" w:rsidRPr="00105BAA">
        <w:rPr>
          <w:lang w:val="cs-CZ"/>
        </w:rPr>
        <w:t xml:space="preserve"> za</w:t>
      </w:r>
      <w:r w:rsidR="00B803AF" w:rsidRPr="00105BAA">
        <w:rPr>
          <w:lang w:val="cs-CZ"/>
        </w:rPr>
        <w:t> </w:t>
      </w:r>
      <w:r w:rsidR="001C31F4" w:rsidRPr="00105BAA">
        <w:rPr>
          <w:lang w:val="cs-CZ"/>
        </w:rPr>
        <w:t xml:space="preserve">metr čtvereční pronajímaných prostor </w:t>
      </w:r>
      <w:r w:rsidR="002018AE" w:rsidRPr="00105BAA">
        <w:rPr>
          <w:lang w:val="cs-CZ"/>
        </w:rPr>
        <w:t xml:space="preserve">je </w:t>
      </w:r>
      <w:r w:rsidR="00130C4F" w:rsidRPr="00105BAA">
        <w:rPr>
          <w:lang w:val="cs-CZ"/>
        </w:rPr>
        <w:t xml:space="preserve">naopak </w:t>
      </w:r>
      <w:r w:rsidR="006A06E4" w:rsidRPr="00105BAA">
        <w:rPr>
          <w:lang w:val="cs-CZ"/>
        </w:rPr>
        <w:t>o</w:t>
      </w:r>
      <w:r w:rsidR="006F3404" w:rsidRPr="00105BAA">
        <w:rPr>
          <w:lang w:val="cs-CZ"/>
        </w:rPr>
        <w:t> </w:t>
      </w:r>
      <w:r w:rsidR="006A06E4" w:rsidRPr="00105BAA">
        <w:rPr>
          <w:lang w:val="cs-CZ"/>
        </w:rPr>
        <w:t>5,5 % vyšší</w:t>
      </w:r>
      <w:r w:rsidR="001C31F4" w:rsidRPr="00130C4F">
        <w:rPr>
          <w:lang w:val="cs-CZ"/>
        </w:rPr>
        <w:t xml:space="preserve">. </w:t>
      </w:r>
      <w:r w:rsidR="00130C4F" w:rsidRPr="00130C4F">
        <w:rPr>
          <w:lang w:val="cs-CZ"/>
        </w:rPr>
        <w:t>Zajímavé je i srovnání jednotlivých</w:t>
      </w:r>
      <w:r w:rsidR="00130C4F">
        <w:rPr>
          <w:lang w:val="cs-CZ"/>
        </w:rPr>
        <w:t xml:space="preserve"> evropských</w:t>
      </w:r>
      <w:r w:rsidR="00130C4F" w:rsidRPr="00130C4F">
        <w:rPr>
          <w:lang w:val="cs-CZ"/>
        </w:rPr>
        <w:t xml:space="preserve"> trhů, ze kterého ten pražský vychází jako</w:t>
      </w:r>
      <w:r w:rsidR="006F3404">
        <w:rPr>
          <w:lang w:val="cs-CZ"/>
        </w:rPr>
        <w:t> </w:t>
      </w:r>
      <w:r w:rsidR="00130C4F" w:rsidRPr="00130C4F">
        <w:rPr>
          <w:lang w:val="cs-CZ"/>
        </w:rPr>
        <w:t>vyspělý</w:t>
      </w:r>
      <w:r w:rsidR="006D7BBB">
        <w:rPr>
          <w:lang w:val="cs-CZ"/>
        </w:rPr>
        <w:t>. V</w:t>
      </w:r>
      <w:r w:rsidR="00130C4F" w:rsidRPr="00130C4F">
        <w:rPr>
          <w:lang w:val="cs-CZ"/>
        </w:rPr>
        <w:t xml:space="preserve">lastníci </w:t>
      </w:r>
      <w:r w:rsidR="00130C4F">
        <w:rPr>
          <w:lang w:val="cs-CZ"/>
        </w:rPr>
        <w:t xml:space="preserve">udržitelných budov </w:t>
      </w:r>
      <w:r w:rsidR="00130C4F" w:rsidRPr="00130C4F">
        <w:rPr>
          <w:lang w:val="cs-CZ"/>
        </w:rPr>
        <w:t>zde</w:t>
      </w:r>
      <w:r w:rsidR="00B803AF">
        <w:rPr>
          <w:lang w:val="cs-CZ"/>
        </w:rPr>
        <w:t> </w:t>
      </w:r>
      <w:r w:rsidR="00130C4F" w:rsidRPr="00130C4F">
        <w:rPr>
          <w:lang w:val="cs-CZ"/>
        </w:rPr>
        <w:t xml:space="preserve">dlouhodobě dosahují </w:t>
      </w:r>
      <w:r w:rsidR="00461837">
        <w:rPr>
          <w:lang w:val="cs-CZ"/>
        </w:rPr>
        <w:t xml:space="preserve">velmi </w:t>
      </w:r>
      <w:r w:rsidR="006D7BBB">
        <w:rPr>
          <w:lang w:val="cs-CZ"/>
        </w:rPr>
        <w:t>dobrých</w:t>
      </w:r>
      <w:r w:rsidR="00130C4F" w:rsidRPr="00130C4F">
        <w:rPr>
          <w:lang w:val="cs-CZ"/>
        </w:rPr>
        <w:t xml:space="preserve"> výsledků</w:t>
      </w:r>
      <w:r w:rsidR="00130C4F">
        <w:rPr>
          <w:lang w:val="cs-CZ"/>
        </w:rPr>
        <w:t>.</w:t>
      </w:r>
      <w:r w:rsidR="009A02CB">
        <w:rPr>
          <w:lang w:val="cs-CZ"/>
        </w:rPr>
        <w:t xml:space="preserve"> </w:t>
      </w:r>
    </w:p>
    <w:p w14:paraId="61E19763" w14:textId="77777777" w:rsidR="0099088C" w:rsidRDefault="0099088C" w:rsidP="001C31F4">
      <w:pPr>
        <w:pStyle w:val="BodyCopy"/>
        <w:rPr>
          <w:lang w:val="cs-CZ"/>
        </w:rPr>
      </w:pPr>
    </w:p>
    <w:p w14:paraId="29391962" w14:textId="18719730" w:rsidR="00736A87" w:rsidRPr="0019198D" w:rsidRDefault="006D7BBB" w:rsidP="004355C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Certifikované </w:t>
      </w:r>
      <w:r w:rsidR="0019198D" w:rsidRPr="0019198D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nemovitosti </w:t>
      </w:r>
      <w:r w:rsidR="00A74C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v Praze </w:t>
      </w:r>
      <w:r w:rsidR="0019198D" w:rsidRPr="0019198D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mají </w:t>
      </w:r>
      <w:r w:rsidR="0019198D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o</w:t>
      </w:r>
      <w:r w:rsidR="00A74C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 </w:t>
      </w:r>
      <w:r w:rsidR="004B302F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3 </w:t>
      </w:r>
      <w:r w:rsidR="00A74C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% </w:t>
      </w:r>
      <w:r w:rsidR="0019198D" w:rsidRPr="0019198D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nižší míru neobsazenosti</w:t>
      </w:r>
    </w:p>
    <w:p w14:paraId="436919E7" w14:textId="64820BF0" w:rsidR="00E1167C" w:rsidRPr="00A74C94" w:rsidRDefault="004355CE" w:rsidP="00E1167C">
      <w:pPr>
        <w:pStyle w:val="BodyCopy"/>
        <w:rPr>
          <w:lang w:val="cs-CZ"/>
        </w:rPr>
      </w:pPr>
      <w:r w:rsidRPr="001109F5">
        <w:rPr>
          <w:lang w:val="cs-CZ"/>
        </w:rPr>
        <w:t xml:space="preserve">Míra neobsazenosti </w:t>
      </w:r>
      <w:r w:rsidR="00BC554C" w:rsidRPr="001109F5">
        <w:rPr>
          <w:lang w:val="cs-CZ"/>
        </w:rPr>
        <w:t xml:space="preserve">neboli interakce mezi nabídkou a poptávkou </w:t>
      </w:r>
      <w:r w:rsidR="001C6B20" w:rsidRPr="001109F5">
        <w:rPr>
          <w:lang w:val="cs-CZ"/>
        </w:rPr>
        <w:t>se v sektoru komerčních nemovitostí považuje</w:t>
      </w:r>
      <w:r w:rsidRPr="001109F5">
        <w:rPr>
          <w:lang w:val="cs-CZ"/>
        </w:rPr>
        <w:t xml:space="preserve"> </w:t>
      </w:r>
      <w:r w:rsidR="001C6B20" w:rsidRPr="001109F5">
        <w:rPr>
          <w:lang w:val="cs-CZ"/>
        </w:rPr>
        <w:t>za jeden z </w:t>
      </w:r>
      <w:r w:rsidR="003E0C52" w:rsidRPr="001109F5">
        <w:rPr>
          <w:lang w:val="cs-CZ"/>
        </w:rPr>
        <w:t>nejdůležitějších</w:t>
      </w:r>
      <w:r w:rsidR="001C6B20" w:rsidRPr="001109F5">
        <w:rPr>
          <w:lang w:val="cs-CZ"/>
        </w:rPr>
        <w:t xml:space="preserve"> faktorů, kter</w:t>
      </w:r>
      <w:r w:rsidR="00BC554C" w:rsidRPr="001109F5">
        <w:rPr>
          <w:lang w:val="cs-CZ"/>
        </w:rPr>
        <w:t>ý</w:t>
      </w:r>
      <w:r w:rsidR="001C6B20" w:rsidRPr="001109F5">
        <w:rPr>
          <w:lang w:val="cs-CZ"/>
        </w:rPr>
        <w:t xml:space="preserve"> </w:t>
      </w:r>
      <w:r w:rsidR="003E0C52" w:rsidRPr="001109F5">
        <w:rPr>
          <w:lang w:val="cs-CZ"/>
        </w:rPr>
        <w:t xml:space="preserve">odráží reálnou </w:t>
      </w:r>
      <w:r w:rsidRPr="001109F5">
        <w:rPr>
          <w:lang w:val="cs-CZ"/>
        </w:rPr>
        <w:t>situaci na trhu</w:t>
      </w:r>
      <w:r w:rsidR="00BC554C" w:rsidRPr="001109F5">
        <w:rPr>
          <w:lang w:val="cs-CZ"/>
        </w:rPr>
        <w:t xml:space="preserve"> a </w:t>
      </w:r>
      <w:r w:rsidR="00461837">
        <w:rPr>
          <w:lang w:val="cs-CZ"/>
        </w:rPr>
        <w:t xml:space="preserve">mimo jiné </w:t>
      </w:r>
      <w:r w:rsidR="00BC554C" w:rsidRPr="001109F5">
        <w:rPr>
          <w:lang w:val="cs-CZ"/>
        </w:rPr>
        <w:t>ovlivňuje výši nájemného</w:t>
      </w:r>
      <w:r w:rsidRPr="001109F5">
        <w:rPr>
          <w:lang w:val="cs-CZ"/>
        </w:rPr>
        <w:t xml:space="preserve">. </w:t>
      </w:r>
      <w:r w:rsidR="00E1167C" w:rsidRPr="001109F5">
        <w:rPr>
          <w:i/>
          <w:iCs/>
          <w:lang w:val="cs-CZ"/>
        </w:rPr>
        <w:t>„</w:t>
      </w:r>
      <w:r w:rsidR="00BC554C" w:rsidRPr="001109F5">
        <w:rPr>
          <w:i/>
          <w:iCs/>
          <w:lang w:val="cs-CZ"/>
        </w:rPr>
        <w:t>Hlavním kritériem při výběru nových kanceláří pro většinu společností i n</w:t>
      </w:r>
      <w:r w:rsidR="005D0F4B">
        <w:rPr>
          <w:i/>
          <w:iCs/>
          <w:lang w:val="cs-CZ"/>
        </w:rPr>
        <w:t>adále zůstává lokalita. Z</w:t>
      </w:r>
      <w:r w:rsidR="00252027">
        <w:rPr>
          <w:i/>
          <w:iCs/>
          <w:lang w:val="cs-CZ"/>
        </w:rPr>
        <w:t xml:space="preserve"> naší </w:t>
      </w:r>
      <w:r w:rsidR="00BC554C" w:rsidRPr="001109F5">
        <w:rPr>
          <w:i/>
          <w:iCs/>
          <w:lang w:val="cs-CZ"/>
        </w:rPr>
        <w:t xml:space="preserve">analýzy, která sleduje více než tříletý trend, </w:t>
      </w:r>
      <w:r w:rsidR="005D0F4B">
        <w:rPr>
          <w:i/>
          <w:iCs/>
          <w:lang w:val="cs-CZ"/>
        </w:rPr>
        <w:t xml:space="preserve">nicméně </w:t>
      </w:r>
      <w:r w:rsidR="00BC554C" w:rsidRPr="001109F5">
        <w:rPr>
          <w:i/>
          <w:iCs/>
          <w:lang w:val="cs-CZ"/>
        </w:rPr>
        <w:t>jasně vyplývá</w:t>
      </w:r>
      <w:r w:rsidR="002242E7">
        <w:rPr>
          <w:i/>
          <w:iCs/>
          <w:lang w:val="cs-CZ"/>
        </w:rPr>
        <w:t xml:space="preserve"> </w:t>
      </w:r>
      <w:r w:rsidR="00BF4A20">
        <w:rPr>
          <w:i/>
          <w:iCs/>
          <w:lang w:val="cs-CZ"/>
        </w:rPr>
        <w:t xml:space="preserve">nižší míra neobsazenosti </w:t>
      </w:r>
      <w:r w:rsidR="002242E7">
        <w:rPr>
          <w:i/>
          <w:iCs/>
          <w:lang w:val="cs-CZ"/>
        </w:rPr>
        <w:t xml:space="preserve">u </w:t>
      </w:r>
      <w:r w:rsidR="00DA4602">
        <w:rPr>
          <w:i/>
          <w:iCs/>
          <w:lang w:val="cs-CZ"/>
        </w:rPr>
        <w:t>certifikovan</w:t>
      </w:r>
      <w:r w:rsidR="00BF4A20">
        <w:rPr>
          <w:i/>
          <w:iCs/>
          <w:lang w:val="cs-CZ"/>
        </w:rPr>
        <w:t>ých</w:t>
      </w:r>
      <w:r w:rsidR="00DA4602">
        <w:rPr>
          <w:i/>
          <w:iCs/>
          <w:lang w:val="cs-CZ"/>
        </w:rPr>
        <w:t xml:space="preserve"> </w:t>
      </w:r>
      <w:r w:rsidR="00451953">
        <w:rPr>
          <w:i/>
          <w:iCs/>
          <w:lang w:val="cs-CZ"/>
        </w:rPr>
        <w:t>kancelářsk</w:t>
      </w:r>
      <w:r w:rsidR="00BF4A20">
        <w:rPr>
          <w:i/>
          <w:iCs/>
          <w:lang w:val="cs-CZ"/>
        </w:rPr>
        <w:t>ých</w:t>
      </w:r>
      <w:r w:rsidR="00451953">
        <w:rPr>
          <w:i/>
          <w:iCs/>
          <w:lang w:val="cs-CZ"/>
        </w:rPr>
        <w:t xml:space="preserve"> </w:t>
      </w:r>
      <w:r w:rsidR="00DA4602">
        <w:rPr>
          <w:i/>
          <w:iCs/>
          <w:lang w:val="cs-CZ"/>
        </w:rPr>
        <w:t>budov</w:t>
      </w:r>
      <w:r w:rsidR="0019198D" w:rsidRPr="001109F5">
        <w:rPr>
          <w:i/>
          <w:iCs/>
          <w:lang w:val="cs-CZ"/>
        </w:rPr>
        <w:t>.</w:t>
      </w:r>
      <w:r w:rsidR="002242E7">
        <w:rPr>
          <w:i/>
          <w:iCs/>
          <w:lang w:val="cs-CZ"/>
        </w:rPr>
        <w:t xml:space="preserve"> </w:t>
      </w:r>
      <w:r w:rsidR="0019198D" w:rsidRPr="001109F5">
        <w:rPr>
          <w:i/>
          <w:iCs/>
          <w:lang w:val="cs-CZ"/>
        </w:rPr>
        <w:t>K</w:t>
      </w:r>
      <w:r w:rsidR="00461837">
        <w:rPr>
          <w:i/>
          <w:iCs/>
          <w:lang w:val="cs-CZ"/>
        </w:rPr>
        <w:t xml:space="preserve">onkrétně ke konci prvního pololetí letošního roku činila </w:t>
      </w:r>
      <w:r w:rsidR="0019198D" w:rsidRPr="001109F5">
        <w:rPr>
          <w:i/>
          <w:iCs/>
          <w:lang w:val="cs-CZ"/>
        </w:rPr>
        <w:t xml:space="preserve">průměrná neobsazenost certifikovaných </w:t>
      </w:r>
      <w:r w:rsidR="001109F5">
        <w:rPr>
          <w:i/>
          <w:iCs/>
          <w:lang w:val="cs-CZ"/>
        </w:rPr>
        <w:t>staveb</w:t>
      </w:r>
      <w:r w:rsidR="00E1167C" w:rsidRPr="001109F5">
        <w:rPr>
          <w:i/>
          <w:iCs/>
          <w:lang w:val="cs-CZ"/>
        </w:rPr>
        <w:t xml:space="preserve"> </w:t>
      </w:r>
      <w:r w:rsidR="00461837">
        <w:rPr>
          <w:i/>
          <w:iCs/>
          <w:lang w:val="cs-CZ"/>
        </w:rPr>
        <w:t>napříč Evropou</w:t>
      </w:r>
      <w:r w:rsidR="00E1167C" w:rsidRPr="001109F5">
        <w:rPr>
          <w:i/>
          <w:iCs/>
          <w:lang w:val="cs-CZ"/>
        </w:rPr>
        <w:t xml:space="preserve"> 6,1 %, zatímco </w:t>
      </w:r>
      <w:r w:rsidR="00461837">
        <w:rPr>
          <w:i/>
          <w:iCs/>
          <w:lang w:val="cs-CZ"/>
        </w:rPr>
        <w:t>u</w:t>
      </w:r>
      <w:r w:rsidR="006F3404">
        <w:rPr>
          <w:i/>
          <w:iCs/>
          <w:lang w:val="cs-CZ"/>
        </w:rPr>
        <w:t> </w:t>
      </w:r>
      <w:r w:rsidR="00E1167C" w:rsidRPr="001109F5">
        <w:rPr>
          <w:i/>
          <w:iCs/>
          <w:lang w:val="cs-CZ"/>
        </w:rPr>
        <w:t xml:space="preserve">necertifikovaných </w:t>
      </w:r>
      <w:r w:rsidR="00461837">
        <w:rPr>
          <w:i/>
          <w:iCs/>
          <w:lang w:val="cs-CZ"/>
        </w:rPr>
        <w:t xml:space="preserve">dosahovala </w:t>
      </w:r>
      <w:r w:rsidR="00E1167C" w:rsidRPr="001109F5">
        <w:rPr>
          <w:i/>
          <w:iCs/>
          <w:lang w:val="cs-CZ"/>
        </w:rPr>
        <w:t xml:space="preserve">7,9 %,” </w:t>
      </w:r>
      <w:r w:rsidR="00E1167C" w:rsidRPr="00A74C94">
        <w:rPr>
          <w:lang w:val="cs-CZ"/>
        </w:rPr>
        <w:t xml:space="preserve">komentuje </w:t>
      </w:r>
      <w:r w:rsidR="00E1167C" w:rsidRPr="00A74C94">
        <w:rPr>
          <w:b/>
          <w:bCs/>
          <w:lang w:val="cs-CZ"/>
        </w:rPr>
        <w:t>Jiří Stránský, vedoucí týmu pro</w:t>
      </w:r>
      <w:r w:rsidR="001109F5" w:rsidRPr="00A74C94">
        <w:rPr>
          <w:b/>
          <w:bCs/>
          <w:lang w:val="cs-CZ"/>
        </w:rPr>
        <w:t xml:space="preserve"> </w:t>
      </w:r>
      <w:r w:rsidR="00E1167C" w:rsidRPr="00A74C94">
        <w:rPr>
          <w:b/>
          <w:bCs/>
          <w:lang w:val="cs-CZ"/>
        </w:rPr>
        <w:t>oblast</w:t>
      </w:r>
      <w:r w:rsidR="001109F5" w:rsidRPr="00A74C94">
        <w:rPr>
          <w:b/>
          <w:bCs/>
          <w:lang w:val="cs-CZ"/>
        </w:rPr>
        <w:t xml:space="preserve"> </w:t>
      </w:r>
      <w:r w:rsidR="00E1167C" w:rsidRPr="00A74C94">
        <w:rPr>
          <w:b/>
          <w:bCs/>
          <w:lang w:val="cs-CZ"/>
        </w:rPr>
        <w:t>udržitelnosti v CBRE</w:t>
      </w:r>
      <w:r w:rsidR="00E1167C" w:rsidRPr="00A74C94">
        <w:rPr>
          <w:lang w:val="cs-CZ"/>
        </w:rPr>
        <w:t>.</w:t>
      </w:r>
    </w:p>
    <w:p w14:paraId="524A2BD4" w14:textId="77777777" w:rsidR="0019198D" w:rsidRPr="00E1167C" w:rsidRDefault="0019198D" w:rsidP="004355C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425254" w:themeColor="text1"/>
          <w:sz w:val="24"/>
          <w:szCs w:val="24"/>
        </w:rPr>
      </w:pPr>
      <w:bookmarkStart w:id="1" w:name="_Hlk120537528"/>
    </w:p>
    <w:p w14:paraId="4B81208C" w14:textId="250A761A" w:rsidR="00E249DE" w:rsidRPr="001109F5" w:rsidRDefault="00DC0EE8" w:rsidP="00E249D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425254" w:themeColor="text1"/>
          <w:sz w:val="24"/>
          <w:szCs w:val="24"/>
        </w:rPr>
      </w:pP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Největší </w:t>
      </w:r>
      <w:r w:rsidR="00EF28F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propast 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ve výkonnosti </w:t>
      </w:r>
      <w:r w:rsidR="00B44728">
        <w:rPr>
          <w:rFonts w:ascii="Times New Roman" w:hAnsi="Times New Roman" w:cs="Times New Roman"/>
          <w:color w:val="425254" w:themeColor="text1"/>
          <w:sz w:val="24"/>
          <w:szCs w:val="24"/>
        </w:rPr>
        <w:t>těchto dvou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typů nemovitostí </w:t>
      </w:r>
      <w:r w:rsidR="00E249DE">
        <w:rPr>
          <w:rFonts w:ascii="Times New Roman" w:hAnsi="Times New Roman" w:cs="Times New Roman"/>
          <w:color w:val="425254" w:themeColor="text1"/>
          <w:sz w:val="24"/>
          <w:szCs w:val="24"/>
        </w:rPr>
        <w:t>je</w:t>
      </w:r>
      <w:r w:rsidR="00EF28F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9B5E96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patrn</w:t>
      </w:r>
      <w:r w:rsidR="00EF28F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á </w:t>
      </w:r>
      <w:r w:rsidR="004355CE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v</w:t>
      </w:r>
      <w:r w:rsidR="008A3472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970252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Rumunsku</w:t>
      </w:r>
      <w:r w:rsidR="008A3472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, kde </w:t>
      </w:r>
      <w:r w:rsidR="0099088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bylo možné </w:t>
      </w:r>
      <w:r w:rsidR="008A3472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pozorovat </w:t>
      </w:r>
      <w:r w:rsidR="00596A8D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rozdíl </w:t>
      </w:r>
      <w:r w:rsidR="007C3E1C">
        <w:rPr>
          <w:rFonts w:ascii="Times New Roman" w:hAnsi="Times New Roman" w:cs="Times New Roman"/>
          <w:color w:val="425254" w:themeColor="text1"/>
          <w:sz w:val="24"/>
          <w:szCs w:val="24"/>
        </w:rPr>
        <w:t>mezi ne</w:t>
      </w:r>
      <w:r w:rsidR="00596A8D">
        <w:rPr>
          <w:rFonts w:ascii="Times New Roman" w:hAnsi="Times New Roman" w:cs="Times New Roman"/>
          <w:color w:val="425254" w:themeColor="text1"/>
          <w:sz w:val="24"/>
          <w:szCs w:val="24"/>
        </w:rPr>
        <w:t>obsazenost</w:t>
      </w:r>
      <w:r w:rsidR="007C3E1C">
        <w:rPr>
          <w:rFonts w:ascii="Times New Roman" w:hAnsi="Times New Roman" w:cs="Times New Roman"/>
          <w:color w:val="425254" w:themeColor="text1"/>
          <w:sz w:val="24"/>
          <w:szCs w:val="24"/>
        </w:rPr>
        <w:t>í</w:t>
      </w:r>
      <w:r w:rsidR="00596A8D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99088C">
        <w:rPr>
          <w:rFonts w:ascii="Times New Roman" w:hAnsi="Times New Roman" w:cs="Times New Roman"/>
          <w:color w:val="425254" w:themeColor="text1"/>
          <w:sz w:val="24"/>
          <w:szCs w:val="24"/>
        </w:rPr>
        <w:t>certifikovaných</w:t>
      </w:r>
      <w:r w:rsidR="00970252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596A8D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a </w:t>
      </w:r>
      <w:r w:rsidR="00970252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necertifikovaných</w:t>
      </w:r>
      <w:r w:rsidR="00EF28F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99088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budov ve výši až </w:t>
      </w:r>
      <w:r w:rsidR="00596A8D">
        <w:rPr>
          <w:rFonts w:ascii="Times New Roman" w:hAnsi="Times New Roman" w:cs="Times New Roman"/>
          <w:color w:val="425254" w:themeColor="text1"/>
          <w:sz w:val="24"/>
          <w:szCs w:val="24"/>
        </w:rPr>
        <w:t>20 %</w:t>
      </w:r>
      <w:r w:rsidR="00F76BEA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ve</w:t>
      </w:r>
      <w:r w:rsidR="00B803AF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F76BEA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prospěch těch </w:t>
      </w:r>
      <w:r w:rsidR="0099088C">
        <w:rPr>
          <w:rFonts w:ascii="Times New Roman" w:hAnsi="Times New Roman" w:cs="Times New Roman"/>
          <w:color w:val="425254" w:themeColor="text1"/>
          <w:sz w:val="24"/>
          <w:szCs w:val="24"/>
        </w:rPr>
        <w:t>udržiteln</w:t>
      </w:r>
      <w:r w:rsidR="00F76BEA">
        <w:rPr>
          <w:rFonts w:ascii="Times New Roman" w:hAnsi="Times New Roman" w:cs="Times New Roman"/>
          <w:color w:val="425254" w:themeColor="text1"/>
          <w:sz w:val="24"/>
          <w:szCs w:val="24"/>
        </w:rPr>
        <w:t>ých</w:t>
      </w:r>
      <w:r w:rsidR="00970252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>N</w:t>
      </w:r>
      <w:r w:rsidR="005222EB">
        <w:rPr>
          <w:rFonts w:ascii="Times New Roman" w:hAnsi="Times New Roman" w:cs="Times New Roman"/>
          <w:color w:val="425254" w:themeColor="text1"/>
          <w:sz w:val="24"/>
          <w:szCs w:val="24"/>
        </w:rPr>
        <w:t>ásled</w:t>
      </w:r>
      <w:r w:rsidR="0099088C">
        <w:rPr>
          <w:rFonts w:ascii="Times New Roman" w:hAnsi="Times New Roman" w:cs="Times New Roman"/>
          <w:color w:val="425254" w:themeColor="text1"/>
          <w:sz w:val="24"/>
          <w:szCs w:val="24"/>
        </w:rPr>
        <w:t>oval</w:t>
      </w:r>
      <w:r w:rsidR="005222EB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Londýn a Lisabon, kde</w:t>
      </w:r>
      <w:r w:rsidR="00EF28F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tento</w:t>
      </w:r>
      <w:r w:rsidR="005222EB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EF28FF">
        <w:rPr>
          <w:rFonts w:ascii="Times New Roman" w:hAnsi="Times New Roman" w:cs="Times New Roman"/>
          <w:color w:val="425254" w:themeColor="text1"/>
          <w:sz w:val="24"/>
          <w:szCs w:val="24"/>
        </w:rPr>
        <w:t>rozdíl</w:t>
      </w:r>
      <w:r w:rsidR="005222EB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EF28FF">
        <w:rPr>
          <w:rFonts w:ascii="Times New Roman" w:hAnsi="Times New Roman" w:cs="Times New Roman"/>
          <w:color w:val="425254" w:themeColor="text1"/>
          <w:sz w:val="24"/>
          <w:szCs w:val="24"/>
        </w:rPr>
        <w:t>představoval</w:t>
      </w:r>
      <w:r w:rsidR="005222EB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9 %.</w:t>
      </w:r>
      <w:r w:rsidR="009B5E96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1109F5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„</w:t>
      </w:r>
      <w:r w:rsidR="009B5E96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Praha </w:t>
      </w:r>
      <w:r w:rsidR="00B413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je </w:t>
      </w:r>
      <w:r w:rsidR="009B5E96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v tomto směru</w:t>
      </w:r>
      <w:r w:rsidR="00B413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5222E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vyro</w:t>
      </w:r>
      <w:r w:rsidR="00B413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v</w:t>
      </w:r>
      <w:r w:rsidR="005222E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nanější</w:t>
      </w:r>
      <w:r w:rsidR="009B5E96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, nicméně i tak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EF28FF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zde certifikované</w:t>
      </w:r>
      <w:r w:rsidR="00EF28FF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nemovitost</w:t>
      </w:r>
      <w:r w:rsidR="00EF28FF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i</w:t>
      </w:r>
      <w:r w:rsidR="00EF28FF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EF28FF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dosahují</w:t>
      </w:r>
      <w:r w:rsidR="00C8082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lepší </w:t>
      </w:r>
      <w:r w:rsidR="00596A8D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úrovně 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obsazenosti o cca </w:t>
      </w:r>
      <w:r w:rsidR="00E166FC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3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%</w:t>
      </w:r>
      <w:r w:rsidR="00A000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,“ </w:t>
      </w:r>
      <w:r w:rsidR="00A00060" w:rsidRPr="00A00060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uvádí </w:t>
      </w:r>
      <w:r w:rsidR="00A00060" w:rsidRPr="00A00060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Jiří Stránský</w:t>
      </w:r>
      <w:r w:rsidR="00A00060" w:rsidRPr="00A00060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a</w:t>
      </w:r>
      <w:r w:rsidR="00B803AF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A00060">
        <w:rPr>
          <w:rFonts w:ascii="Times New Roman" w:hAnsi="Times New Roman" w:cs="Times New Roman"/>
          <w:color w:val="425254" w:themeColor="text1"/>
          <w:sz w:val="24"/>
          <w:szCs w:val="24"/>
        </w:rPr>
        <w:t>vysvětluje</w:t>
      </w:r>
      <w:r w:rsidR="00A00060" w:rsidRPr="00A00060">
        <w:rPr>
          <w:rFonts w:ascii="Times New Roman" w:hAnsi="Times New Roman" w:cs="Times New Roman"/>
          <w:color w:val="425254" w:themeColor="text1"/>
          <w:sz w:val="24"/>
          <w:szCs w:val="24"/>
        </w:rPr>
        <w:t>:</w:t>
      </w:r>
      <w:r w:rsidR="00A000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„</w:t>
      </w:r>
      <w:r w:rsidR="00B413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T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uzemská metropole má </w:t>
      </w:r>
      <w:r w:rsidR="004355CE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jeden z nejvyšších podílů </w:t>
      </w:r>
      <w:r w:rsidR="00B413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udržitelných</w:t>
      </w:r>
      <w:r w:rsidR="004355CE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budov na 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starém kontinentu. Podobně jako v Bratislavě, Varšavě, Amsterdamu či Stockholmu </w:t>
      </w:r>
      <w:r w:rsid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zde zaujímají </w:t>
      </w:r>
      <w:r w:rsidR="008A3472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i přes 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40 %</w:t>
      </w:r>
      <w:r w:rsid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trhu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, zatímco evropský </w:t>
      </w:r>
      <w:r w:rsidR="00A000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standard je</w:t>
      </w:r>
      <w:r w:rsid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kolem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20</w:t>
      </w:r>
      <w:r w:rsidR="006F340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 </w:t>
      </w:r>
      <w:r w:rsidR="005B0417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%</w:t>
      </w:r>
      <w:r w:rsidR="00A00060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.</w:t>
      </w:r>
      <w:r w:rsidR="001109F5" w:rsidRPr="001109F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“</w:t>
      </w:r>
      <w:r w:rsidR="001109F5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Důvodů, proč se středoevropský region řadí k</w:t>
      </w:r>
      <w:r w:rsidR="007B61E3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premiantům (například Berlín, Kodaň, Lisabon či</w:t>
      </w:r>
      <w:r w:rsidR="006F3404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Řím ne</w:t>
      </w:r>
      <w:r w:rsidR="00A74C94">
        <w:rPr>
          <w:rFonts w:ascii="Times New Roman" w:hAnsi="Times New Roman" w:cs="Times New Roman"/>
          <w:color w:val="425254" w:themeColor="text1"/>
          <w:sz w:val="24"/>
          <w:szCs w:val="24"/>
        </w:rPr>
        <w:t>dosahuj</w:t>
      </w:r>
      <w:r w:rsidR="00E249DE">
        <w:rPr>
          <w:rFonts w:ascii="Times New Roman" w:hAnsi="Times New Roman" w:cs="Times New Roman"/>
          <w:color w:val="425254" w:themeColor="text1"/>
          <w:sz w:val="24"/>
          <w:szCs w:val="24"/>
        </w:rPr>
        <w:t>í</w:t>
      </w:r>
      <w:r w:rsidR="00A74C94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ani 10 %) je </w:t>
      </w:r>
      <w:r w:rsidR="00E249DE">
        <w:rPr>
          <w:rFonts w:ascii="Times New Roman" w:hAnsi="Times New Roman" w:cs="Times New Roman"/>
          <w:color w:val="425254" w:themeColor="text1"/>
          <w:sz w:val="24"/>
          <w:szCs w:val="24"/>
        </w:rPr>
        <w:t>více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: jedná se o</w:t>
      </w:r>
      <w:r w:rsidR="007B61E3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poměrně mladé trhy, kde moderní kancelářská výstavba začala teprve před </w:t>
      </w:r>
      <w:r w:rsidR="00E249DE">
        <w:rPr>
          <w:rFonts w:ascii="Times New Roman" w:hAnsi="Times New Roman" w:cs="Times New Roman"/>
          <w:color w:val="425254" w:themeColor="text1"/>
          <w:sz w:val="24"/>
          <w:szCs w:val="24"/>
        </w:rPr>
        <w:t>několika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dekádami. Navíc developerská aktivita a s tím související konkurence je zde</w:t>
      </w:r>
      <w:r w:rsidR="006F3404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5B0417" w:rsidRPr="00E1167C">
        <w:rPr>
          <w:rFonts w:ascii="Times New Roman" w:hAnsi="Times New Roman" w:cs="Times New Roman"/>
          <w:color w:val="425254" w:themeColor="text1"/>
          <w:sz w:val="24"/>
          <w:szCs w:val="24"/>
        </w:rPr>
        <w:t>poměrně silná a vlastníci nemovitostí jsou ochotni dodatečně certifikovat i již existující objekty.</w:t>
      </w:r>
      <w:r w:rsidR="00E1167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6F3404">
        <w:rPr>
          <w:rFonts w:ascii="Times New Roman" w:hAnsi="Times New Roman" w:cs="Times New Roman"/>
          <w:color w:val="425254" w:themeColor="text1"/>
          <w:sz w:val="24"/>
          <w:szCs w:val="24"/>
        </w:rPr>
        <w:t>„</w:t>
      </w:r>
      <w:r w:rsidR="00E249DE" w:rsidRPr="00A74C9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Každopádně</w:t>
      </w:r>
      <w:r w:rsidR="00E249DE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v globálu</w:t>
      </w:r>
      <w:r w:rsidR="00E249DE" w:rsidRPr="00A74C9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lze očekávat, že </w:t>
      </w:r>
      <w:r w:rsidR="00B44728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společně </w:t>
      </w:r>
      <w:r w:rsidR="00E249DE" w:rsidRPr="00A74C9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 rostoucí mírou společenské odpovědnosti firem a</w:t>
      </w:r>
      <w:r w:rsidR="006F340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 </w:t>
      </w:r>
      <w:r w:rsidR="00E249DE" w:rsidRPr="00A74C9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snahou o snižování energetické</w:t>
      </w:r>
      <w:r w:rsidR="005D0F4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náročnosti budov dojde </w:t>
      </w:r>
      <w:r w:rsidR="00E249DE" w:rsidRPr="00A74C9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k dalšímu zvětšování rozdílu mezi</w:t>
      </w:r>
      <w:r w:rsidR="006F340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 </w:t>
      </w:r>
      <w:r w:rsidR="00E249DE" w:rsidRPr="00A74C9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mírou neobsazenosti certifikovaných a necertifikovaných </w:t>
      </w:r>
      <w:r w:rsidR="00E249DE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staveb</w:t>
      </w:r>
      <w:r w:rsidR="00E249DE" w:rsidRPr="00A74C9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,“</w:t>
      </w:r>
      <w:r w:rsidR="00E249DE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popisuje </w:t>
      </w:r>
      <w:r w:rsidR="00E249DE" w:rsidRPr="00A74C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Stránský</w:t>
      </w:r>
      <w:r w:rsidR="00E249DE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</w:p>
    <w:bookmarkEnd w:id="1"/>
    <w:p w14:paraId="7AECAE11" w14:textId="33CA81E3" w:rsidR="00A74C94" w:rsidRDefault="00A74C94" w:rsidP="004355CE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425254" w:themeColor="text1"/>
          <w:sz w:val="24"/>
          <w:szCs w:val="24"/>
        </w:rPr>
      </w:pPr>
    </w:p>
    <w:p w14:paraId="41778094" w14:textId="77777777" w:rsidR="00B803AF" w:rsidRDefault="00E249DE" w:rsidP="00B979FC">
      <w:pPr>
        <w:pStyle w:val="Odstavecseseznamem"/>
        <w:spacing w:after="0" w:line="240" w:lineRule="auto"/>
        <w:ind w:left="0" w:hanging="11"/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</w:pPr>
      <w:bookmarkStart w:id="2" w:name="_Hlk120101754"/>
      <w:r w:rsidRPr="00FE4E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Vlastníci </w:t>
      </w:r>
      <w:r w:rsidR="004355CE" w:rsidRPr="00FE4E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certifikovaných nemovitostí </w:t>
      </w:r>
      <w:r w:rsidR="00FE4E94" w:rsidRPr="00FE4E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v Praze si mohou říct o </w:t>
      </w:r>
      <w:r w:rsidR="00CD438A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18</w:t>
      </w:r>
      <w:r w:rsidR="004355CE" w:rsidRPr="00FE4E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 % více</w:t>
      </w:r>
      <w:bookmarkEnd w:id="2"/>
      <w:r w:rsidR="00FE4E94" w:rsidRPr="00FE4E94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 na nájemném</w:t>
      </w:r>
    </w:p>
    <w:p w14:paraId="4191613F" w14:textId="0C7CBA62" w:rsidR="00B979FC" w:rsidRDefault="00964794" w:rsidP="00B979FC">
      <w:pPr>
        <w:pStyle w:val="Odstavecseseznamem"/>
        <w:spacing w:after="0" w:line="240" w:lineRule="auto"/>
        <w:ind w:left="0" w:hanging="11"/>
        <w:rPr>
          <w:rFonts w:ascii="Times New Roman" w:hAnsi="Times New Roman" w:cs="Times New Roman"/>
          <w:color w:val="425254" w:themeColor="text1"/>
          <w:sz w:val="24"/>
          <w:szCs w:val="24"/>
          <w:highlight w:val="yellow"/>
        </w:rPr>
      </w:pPr>
      <w:r w:rsidRPr="00964794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Vzorek studie tvořilo 7 500 nájemních smluv v budovách s certifikací a 37 000 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>s</w:t>
      </w:r>
      <w:r w:rsidRPr="00964794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mluv v 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>objektech</w:t>
      </w:r>
      <w:r w:rsidRPr="00964794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bez</w:t>
      </w:r>
      <w:r w:rsidR="006F3404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Pr="00964794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certifikace, což představuje dosud nejrozsáhlejší 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>průzkum zaměřený na kancelářské pronájmy na</w:t>
      </w:r>
      <w:r w:rsidR="006F3404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evropském kontinentu. 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>Po</w:t>
      </w:r>
      <w:r w:rsidR="00510097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důkladné analýze, během které byly 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zohledněn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>y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>veškeré</w:t>
      </w:r>
      <w:r w:rsidR="00510097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proměnn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>é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jako velikost nemovitosti a její stáří či lokalita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CBRE prokázala, že 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>průměrné nájemné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v udržitelných budovách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je 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o 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5,5</w:t>
      </w:r>
      <w:r w:rsidR="00A74C94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%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v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yšší </w:t>
      </w:r>
      <w:r w:rsidR="002242E7">
        <w:rPr>
          <w:rFonts w:ascii="Times New Roman" w:hAnsi="Times New Roman" w:cs="Times New Roman"/>
          <w:color w:val="425254" w:themeColor="text1"/>
          <w:sz w:val="24"/>
          <w:szCs w:val="24"/>
        </w:rPr>
        <w:t>než u necertifikovaných budov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N</w:t>
      </w:r>
      <w:r w:rsidR="00FD089C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ejvíce přitom 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vlastníci </w:t>
      </w:r>
      <w:r w:rsidR="00235576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prémiových </w:t>
      </w:r>
      <w:r w:rsidR="00235576">
        <w:rPr>
          <w:rFonts w:ascii="Times New Roman" w:hAnsi="Times New Roman" w:cs="Times New Roman"/>
          <w:color w:val="425254" w:themeColor="text1"/>
          <w:sz w:val="24"/>
          <w:szCs w:val="24"/>
        </w:rPr>
        <w:lastRenderedPageBreak/>
        <w:t xml:space="preserve">nemovitostí 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vyberou </w:t>
      </w:r>
      <w:r w:rsidR="00FD089C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v rumunských městech Temešvár (</w:t>
      </w:r>
      <w:r w:rsidR="00235576">
        <w:rPr>
          <w:rFonts w:ascii="Times New Roman" w:hAnsi="Times New Roman" w:cs="Times New Roman"/>
          <w:color w:val="425254" w:themeColor="text1"/>
          <w:sz w:val="24"/>
          <w:szCs w:val="24"/>
        </w:rPr>
        <w:t>+</w:t>
      </w:r>
      <w:r w:rsidR="00FD089C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22,5 %) a Kluž (</w:t>
      </w:r>
      <w:r w:rsidR="00235576">
        <w:rPr>
          <w:rFonts w:ascii="Times New Roman" w:hAnsi="Times New Roman" w:cs="Times New Roman"/>
          <w:color w:val="425254" w:themeColor="text1"/>
          <w:sz w:val="24"/>
          <w:szCs w:val="24"/>
        </w:rPr>
        <w:t>+</w:t>
      </w:r>
      <w:r w:rsidR="00FD089C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22 %),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ovšem</w:t>
      </w:r>
      <w:r w:rsidR="006F3404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hned 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>za nimi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následuje </w:t>
      </w:r>
      <w:r w:rsidR="00FD089C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Praha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>s</w:t>
      </w:r>
      <w:r w:rsidR="00235576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CD438A">
        <w:rPr>
          <w:rFonts w:ascii="Times New Roman" w:hAnsi="Times New Roman" w:cs="Times New Roman"/>
          <w:color w:val="425254" w:themeColor="text1"/>
          <w:sz w:val="24"/>
          <w:szCs w:val="24"/>
        </w:rPr>
        <w:t>18</w:t>
      </w:r>
      <w:r w:rsidR="00112CDA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%. 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Nad hranicí </w:t>
      </w:r>
      <w:r w:rsidR="00235576">
        <w:rPr>
          <w:rFonts w:ascii="Times New Roman" w:hAnsi="Times New Roman" w:cs="Times New Roman"/>
          <w:color w:val="425254" w:themeColor="text1"/>
          <w:sz w:val="24"/>
          <w:szCs w:val="24"/>
        </w:rPr>
        <w:t>+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15 % se také </w:t>
      </w:r>
      <w:r w:rsidR="00235576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drží 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Madrid, Aarhus, </w:t>
      </w:r>
      <w:r w:rsidR="00FD089C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Bukurešť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CD438A">
        <w:rPr>
          <w:rFonts w:ascii="Times New Roman" w:hAnsi="Times New Roman" w:cs="Times New Roman"/>
          <w:color w:val="425254" w:themeColor="text1"/>
          <w:sz w:val="24"/>
          <w:szCs w:val="24"/>
        </w:rPr>
        <w:t>či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Jasy</w:t>
      </w:r>
      <w:r w:rsidR="00FD089C" w:rsidRPr="00B979FC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  <w:r w:rsidR="00B979F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</w:p>
    <w:p w14:paraId="6FF71CA1" w14:textId="77777777" w:rsidR="00B979FC" w:rsidRDefault="00B979FC" w:rsidP="00B979FC">
      <w:pPr>
        <w:pStyle w:val="Odstavecseseznamem"/>
        <w:spacing w:after="0" w:line="240" w:lineRule="auto"/>
        <w:ind w:left="0" w:hanging="11"/>
        <w:rPr>
          <w:rFonts w:ascii="Times New Roman" w:hAnsi="Times New Roman" w:cs="Times New Roman"/>
          <w:color w:val="425254" w:themeColor="text1"/>
          <w:sz w:val="24"/>
          <w:szCs w:val="24"/>
          <w:highlight w:val="yellow"/>
        </w:rPr>
      </w:pPr>
    </w:p>
    <w:p w14:paraId="3925B02C" w14:textId="71AC710B" w:rsidR="004F58B1" w:rsidRDefault="001E195B" w:rsidP="00235576">
      <w:pPr>
        <w:pStyle w:val="Odstavecseseznamem"/>
        <w:spacing w:after="0" w:line="240" w:lineRule="auto"/>
        <w:ind w:left="0" w:hanging="11"/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</w:pPr>
      <w:r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„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Dalším zjištěním</w:t>
      </w:r>
      <w:r w:rsidR="005D6078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, na které se klienti</w:t>
      </w:r>
      <w:r w:rsidR="00C92B4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uvažující o certifikaci budov</w:t>
      </w:r>
      <w:r w:rsidR="005D6078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často ptají, 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je </w:t>
      </w:r>
      <w:r w:rsidR="005D6078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závěr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, že</w:t>
      </w:r>
      <w:r w:rsidR="0051009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 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u</w:t>
      </w:r>
      <w:r w:rsidR="0051009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 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certifikovaných kancelářských budov vzniká přirážka k nájemnému vždy bez ohledu na rok výstavby.</w:t>
      </w:r>
      <w:r w:rsidR="00BE04E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Toto</w:t>
      </w:r>
      <w:r w:rsidR="002B75C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51009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představuje silný argument</w:t>
      </w:r>
      <w:r w:rsidR="00BE04E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pro</w:t>
      </w:r>
      <w:r w:rsidR="0051009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certifikaci stávajících budov,</w:t>
      </w:r>
      <w:r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komentuje </w:t>
      </w:r>
      <w:r w:rsidRPr="001E195B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Jiří Strán</w:t>
      </w:r>
      <w:r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s</w:t>
      </w:r>
      <w:r w:rsidRPr="001E195B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ký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a</w:t>
      </w:r>
      <w:r w:rsidR="00510097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uzavírá: </w:t>
      </w:r>
      <w:r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Motivy nájemců platit vyšší nájemné v udržitelných budovách jsou v zásadě dvě. 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Za prvé, nájemci </w:t>
      </w:r>
      <w:r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si plně uvědomují, že vyšší nájem jim budou částečně kompenzov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at</w:t>
      </w:r>
      <w:r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nižší provozní náklady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– ať už jde o </w:t>
      </w:r>
      <w:r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spotřeb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u</w:t>
      </w:r>
      <w:r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vody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či</w:t>
      </w:r>
      <w:r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energie</w:t>
      </w:r>
      <w:r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.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CD438A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A z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a druhé,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na trhu </w:t>
      </w:r>
      <w:r w:rsidR="009A02C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čím dál tím víc přibývá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společnost</w:t>
      </w:r>
      <w:r w:rsidR="009A02C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í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, </w:t>
      </w:r>
      <w:r w:rsidR="00235576" w:rsidRPr="001E19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které </w:t>
      </w:r>
      <w:r w:rsidR="009A02C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mají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udržitelnost a</w:t>
      </w:r>
      <w:r w:rsidR="009A02C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princip</w:t>
      </w:r>
      <w:r w:rsidR="00F76BEA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y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A22C4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ESG </w:t>
      </w:r>
      <w:r w:rsidR="009A02C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jako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součást své firemní kultury, </w:t>
      </w:r>
      <w:r w:rsidR="00B803AF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a </w:t>
      </w:r>
      <w:r w:rsidR="004F58B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t</w:t>
      </w:r>
      <w:r w:rsidR="009A02C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udíž jsou ochotny si za ni připlatit. </w:t>
      </w:r>
    </w:p>
    <w:p w14:paraId="19B2FB88" w14:textId="02684935" w:rsidR="008811A3" w:rsidRDefault="008811A3" w:rsidP="00744015">
      <w:pPr>
        <w:rPr>
          <w:i/>
          <w:iCs/>
          <w:color w:val="425254" w:themeColor="text1"/>
          <w:lang w:val="cs-CZ"/>
        </w:rPr>
      </w:pPr>
    </w:p>
    <w:p w14:paraId="6708DB4F" w14:textId="597677AA" w:rsidR="006A058D" w:rsidRPr="00437859" w:rsidRDefault="006A058D" w:rsidP="00956BF0">
      <w:pPr>
        <w:rPr>
          <w:color w:val="425254" w:themeColor="text1"/>
          <w:u w:val="single"/>
          <w:lang w:val="cs-CZ"/>
        </w:rPr>
      </w:pPr>
      <w:r w:rsidRPr="00437859">
        <w:rPr>
          <w:color w:val="425254" w:themeColor="text1"/>
          <w:u w:val="single"/>
          <w:lang w:val="cs-CZ"/>
        </w:rPr>
        <w:t xml:space="preserve">Více o </w:t>
      </w:r>
      <w:r w:rsidR="00956BF0" w:rsidRPr="00437859">
        <w:rPr>
          <w:color w:val="425254" w:themeColor="text1"/>
          <w:u w:val="single"/>
          <w:lang w:val="cs-CZ"/>
        </w:rPr>
        <w:t>analýz</w:t>
      </w:r>
      <w:r w:rsidR="00437859">
        <w:rPr>
          <w:color w:val="425254" w:themeColor="text1"/>
          <w:u w:val="single"/>
          <w:lang w:val="cs-CZ"/>
        </w:rPr>
        <w:t>e</w:t>
      </w:r>
      <w:r w:rsidR="00956BF0" w:rsidRPr="00437859">
        <w:rPr>
          <w:color w:val="425254" w:themeColor="text1"/>
          <w:u w:val="single"/>
          <w:lang w:val="cs-CZ"/>
        </w:rPr>
        <w:t xml:space="preserve"> CBRE</w:t>
      </w:r>
    </w:p>
    <w:p w14:paraId="59DF7CC0" w14:textId="5F9C974A" w:rsidR="00956BF0" w:rsidRDefault="76BE6E7A" w:rsidP="00956BF0">
      <w:pPr>
        <w:rPr>
          <w:color w:val="425254" w:themeColor="text1"/>
          <w:lang w:val="cs-CZ"/>
        </w:rPr>
      </w:pPr>
      <w:r w:rsidRPr="34180BB7">
        <w:rPr>
          <w:color w:val="425254" w:themeColor="text1"/>
          <w:lang w:val="cs-CZ"/>
        </w:rPr>
        <w:t>Analýza p</w:t>
      </w:r>
      <w:r w:rsidR="4DED4A46" w:rsidRPr="34180BB7">
        <w:rPr>
          <w:color w:val="425254" w:themeColor="text1"/>
          <w:lang w:val="cs-CZ"/>
        </w:rPr>
        <w:t>roběhla v 1</w:t>
      </w:r>
      <w:r w:rsidR="004355CE">
        <w:rPr>
          <w:color w:val="425254" w:themeColor="text1"/>
          <w:lang w:val="cs-CZ"/>
        </w:rPr>
        <w:t>8</w:t>
      </w:r>
      <w:r w:rsidR="4DED4A46" w:rsidRPr="34180BB7">
        <w:rPr>
          <w:color w:val="425254" w:themeColor="text1"/>
          <w:lang w:val="cs-CZ"/>
        </w:rPr>
        <w:t xml:space="preserve"> evropských zemích</w:t>
      </w:r>
      <w:r w:rsidR="004355CE">
        <w:rPr>
          <w:color w:val="425254" w:themeColor="text1"/>
          <w:lang w:val="cs-CZ"/>
        </w:rPr>
        <w:t xml:space="preserve"> a 38 městech</w:t>
      </w:r>
      <w:r w:rsidR="4DED4A46" w:rsidRPr="34180BB7">
        <w:rPr>
          <w:color w:val="425254" w:themeColor="text1"/>
          <w:lang w:val="cs-CZ"/>
        </w:rPr>
        <w:t xml:space="preserve"> (kromě ČR bylo zahrnuto </w:t>
      </w:r>
      <w:r w:rsidR="00B13646">
        <w:rPr>
          <w:color w:val="425254" w:themeColor="text1"/>
          <w:lang w:val="cs-CZ"/>
        </w:rPr>
        <w:t xml:space="preserve">také </w:t>
      </w:r>
      <w:r w:rsidR="4DED4A46" w:rsidRPr="34180BB7">
        <w:rPr>
          <w:color w:val="425254" w:themeColor="text1"/>
          <w:lang w:val="cs-CZ"/>
        </w:rPr>
        <w:t xml:space="preserve">Dánsko, </w:t>
      </w:r>
      <w:r w:rsidR="004355CE">
        <w:rPr>
          <w:color w:val="425254" w:themeColor="text1"/>
          <w:lang w:val="cs-CZ"/>
        </w:rPr>
        <w:t xml:space="preserve">Finsko, </w:t>
      </w:r>
      <w:r w:rsidR="4DED4A46" w:rsidRPr="34180BB7">
        <w:rPr>
          <w:color w:val="425254" w:themeColor="text1"/>
          <w:lang w:val="cs-CZ"/>
        </w:rPr>
        <w:t xml:space="preserve">Francie, Itálie, Maďarsko, </w:t>
      </w:r>
      <w:r w:rsidR="004355CE">
        <w:rPr>
          <w:color w:val="425254" w:themeColor="text1"/>
          <w:lang w:val="cs-CZ"/>
        </w:rPr>
        <w:t xml:space="preserve">Německo, </w:t>
      </w:r>
      <w:r w:rsidR="4DED4A46" w:rsidRPr="34180BB7">
        <w:rPr>
          <w:color w:val="425254" w:themeColor="text1"/>
          <w:lang w:val="cs-CZ"/>
        </w:rPr>
        <w:t xml:space="preserve">Nizozemsko, Norsko, Polsko, Portugalsko, </w:t>
      </w:r>
      <w:r w:rsidR="004355CE">
        <w:rPr>
          <w:color w:val="425254" w:themeColor="text1"/>
          <w:lang w:val="cs-CZ"/>
        </w:rPr>
        <w:t xml:space="preserve">Rakousko, Rumunsko, </w:t>
      </w:r>
      <w:r w:rsidR="4DED4A46" w:rsidRPr="34180BB7">
        <w:rPr>
          <w:color w:val="425254" w:themeColor="text1"/>
          <w:lang w:val="cs-CZ"/>
        </w:rPr>
        <w:t xml:space="preserve">Slovensko, </w:t>
      </w:r>
      <w:r w:rsidR="004355CE">
        <w:rPr>
          <w:color w:val="425254" w:themeColor="text1"/>
          <w:lang w:val="cs-CZ"/>
        </w:rPr>
        <w:t xml:space="preserve">Srbsko, </w:t>
      </w:r>
      <w:r w:rsidR="4DED4A46" w:rsidRPr="34180BB7">
        <w:rPr>
          <w:color w:val="425254" w:themeColor="text1"/>
          <w:lang w:val="cs-CZ"/>
        </w:rPr>
        <w:t>Španělsko</w:t>
      </w:r>
      <w:r w:rsidR="004355CE">
        <w:rPr>
          <w:color w:val="425254" w:themeColor="text1"/>
          <w:lang w:val="cs-CZ"/>
        </w:rPr>
        <w:t xml:space="preserve">, </w:t>
      </w:r>
      <w:r w:rsidR="4DED4A46" w:rsidRPr="34180BB7">
        <w:rPr>
          <w:color w:val="425254" w:themeColor="text1"/>
          <w:lang w:val="cs-CZ"/>
        </w:rPr>
        <w:t>Švédsko</w:t>
      </w:r>
      <w:r w:rsidR="004355CE">
        <w:rPr>
          <w:color w:val="425254" w:themeColor="text1"/>
          <w:lang w:val="cs-CZ"/>
        </w:rPr>
        <w:t xml:space="preserve"> a Velká Británie</w:t>
      </w:r>
      <w:r w:rsidR="4DED4A46" w:rsidRPr="34180BB7">
        <w:rPr>
          <w:color w:val="425254" w:themeColor="text1"/>
          <w:lang w:val="cs-CZ"/>
        </w:rPr>
        <w:t xml:space="preserve">), přičemž zohlednila </w:t>
      </w:r>
      <w:r w:rsidR="004355CE">
        <w:rPr>
          <w:color w:val="425254" w:themeColor="text1"/>
          <w:lang w:val="cs-CZ"/>
        </w:rPr>
        <w:t>44</w:t>
      </w:r>
      <w:r w:rsidR="4DED4A46" w:rsidRPr="34180BB7">
        <w:rPr>
          <w:color w:val="425254" w:themeColor="text1"/>
          <w:lang w:val="cs-CZ"/>
        </w:rPr>
        <w:t xml:space="preserve"> </w:t>
      </w:r>
      <w:r w:rsidR="004355CE">
        <w:rPr>
          <w:color w:val="425254" w:themeColor="text1"/>
          <w:lang w:val="cs-CZ"/>
        </w:rPr>
        <w:t>5</w:t>
      </w:r>
      <w:r w:rsidR="4DED4A46" w:rsidRPr="34180BB7">
        <w:rPr>
          <w:color w:val="425254" w:themeColor="text1"/>
          <w:lang w:val="cs-CZ"/>
        </w:rPr>
        <w:t>00 nájemních smluv</w:t>
      </w:r>
      <w:r w:rsidR="004355CE">
        <w:rPr>
          <w:color w:val="425254" w:themeColor="text1"/>
          <w:lang w:val="cs-CZ"/>
        </w:rPr>
        <w:t xml:space="preserve"> uzavřených </w:t>
      </w:r>
      <w:r w:rsidR="4DED4A46" w:rsidRPr="34180BB7">
        <w:rPr>
          <w:color w:val="425254" w:themeColor="text1"/>
          <w:lang w:val="cs-CZ"/>
        </w:rPr>
        <w:t>od roku 201</w:t>
      </w:r>
      <w:r w:rsidR="004355CE">
        <w:rPr>
          <w:color w:val="425254" w:themeColor="text1"/>
          <w:lang w:val="cs-CZ"/>
        </w:rPr>
        <w:t>9</w:t>
      </w:r>
      <w:r w:rsidR="4DED4A46" w:rsidRPr="34180BB7">
        <w:rPr>
          <w:color w:val="425254" w:themeColor="text1"/>
          <w:lang w:val="cs-CZ"/>
        </w:rPr>
        <w:t xml:space="preserve"> do 1. pololetí 202</w:t>
      </w:r>
      <w:r w:rsidR="004355CE">
        <w:rPr>
          <w:color w:val="425254" w:themeColor="text1"/>
          <w:lang w:val="cs-CZ"/>
        </w:rPr>
        <w:t>2</w:t>
      </w:r>
      <w:r w:rsidR="4DED4A46" w:rsidRPr="34180BB7">
        <w:rPr>
          <w:color w:val="425254" w:themeColor="text1"/>
          <w:lang w:val="cs-CZ"/>
        </w:rPr>
        <w:t xml:space="preserve">. Nejrozšířenějším systémem pro posuzování udržitelné výstavby a </w:t>
      </w:r>
      <w:r w:rsidR="00DA3EDC">
        <w:rPr>
          <w:color w:val="425254" w:themeColor="text1"/>
          <w:lang w:val="cs-CZ"/>
        </w:rPr>
        <w:t xml:space="preserve">pro </w:t>
      </w:r>
      <w:r w:rsidR="4DED4A46" w:rsidRPr="34180BB7">
        <w:rPr>
          <w:color w:val="425254" w:themeColor="text1"/>
          <w:lang w:val="cs-CZ"/>
        </w:rPr>
        <w:t xml:space="preserve">certifikaci budov v těchto zemích je BREEAM, následují LEED, </w:t>
      </w:r>
      <w:r w:rsidR="4DED4A46" w:rsidRPr="00F70A73">
        <w:rPr>
          <w:color w:val="425254" w:themeColor="text1"/>
          <w:lang w:val="cs-CZ"/>
        </w:rPr>
        <w:t>DGNB, HQE a WELL.</w:t>
      </w:r>
    </w:p>
    <w:p w14:paraId="1564E482" w14:textId="5A9F071F" w:rsidR="006F3404" w:rsidRDefault="006F3404" w:rsidP="00956BF0">
      <w:pPr>
        <w:rPr>
          <w:color w:val="425254" w:themeColor="text1"/>
          <w:lang w:val="cs-CZ"/>
        </w:rPr>
      </w:pPr>
    </w:p>
    <w:p w14:paraId="44AA76F9" w14:textId="5AA3134F" w:rsidR="00635147" w:rsidRDefault="00635147" w:rsidP="00956BF0">
      <w:pPr>
        <w:rPr>
          <w:color w:val="425254" w:themeColor="text1"/>
          <w:lang w:val="cs-CZ"/>
        </w:rPr>
      </w:pPr>
    </w:p>
    <w:p w14:paraId="0B3A0B8C" w14:textId="582EFBCC" w:rsidR="003B0B9B" w:rsidRDefault="00BA3ACA" w:rsidP="003B0B9B">
      <w:pPr>
        <w:pStyle w:val="Contact"/>
      </w:pPr>
      <w:r>
        <w:t>K</w:t>
      </w:r>
      <w:r w:rsidR="003B0B9B" w:rsidRPr="003B44F1">
        <w:t>onta</w:t>
      </w:r>
      <w:r>
        <w:t>k</w:t>
      </w:r>
      <w:r w:rsidR="003B0B9B" w:rsidRPr="003B44F1">
        <w:t>t</w:t>
      </w:r>
      <w:r>
        <w:t>y</w:t>
      </w:r>
      <w:r w:rsidR="003B0B9B" w:rsidRPr="003B44F1">
        <w:t>:</w:t>
      </w:r>
      <w:r w:rsidR="003B0B9B">
        <w:br/>
        <w:t>Crest Communications, a.s.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Pr="00F70A73" w:rsidRDefault="003B0B9B" w:rsidP="003B0B9B">
      <w:pPr>
        <w:pStyle w:val="Contact"/>
        <w:rPr>
          <w:b w:val="0"/>
          <w:bCs w:val="0"/>
          <w:lang w:val="de-DE"/>
        </w:rPr>
      </w:pPr>
      <w:r w:rsidRPr="00F70A73">
        <w:rPr>
          <w:b w:val="0"/>
          <w:bCs w:val="0"/>
          <w:lang w:val="de-DE"/>
        </w:rPr>
        <w:t>T: +420 731 613 606</w:t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  <w:t>T: +420 731 613 609</w:t>
      </w:r>
    </w:p>
    <w:p w14:paraId="16CA9260" w14:textId="77777777" w:rsidR="003B0B9B" w:rsidRPr="00F70A73" w:rsidRDefault="003B0B9B" w:rsidP="003B0B9B">
      <w:pPr>
        <w:pStyle w:val="Contact"/>
        <w:rPr>
          <w:b w:val="0"/>
          <w:bCs w:val="0"/>
          <w:lang w:val="de-DE"/>
        </w:rPr>
      </w:pPr>
      <w:r w:rsidRPr="00F70A73">
        <w:rPr>
          <w:b w:val="0"/>
          <w:bCs w:val="0"/>
          <w:lang w:val="de-DE"/>
        </w:rPr>
        <w:t xml:space="preserve">e-mail: </w:t>
      </w:r>
      <w:hyperlink r:id="rId10" w:history="1">
        <w:r w:rsidRPr="00F70A73">
          <w:rPr>
            <w:rStyle w:val="Hypertextovodkaz"/>
            <w:b w:val="0"/>
            <w:bCs w:val="0"/>
            <w:lang w:val="de-DE"/>
          </w:rPr>
          <w:t>denisa.kolarikova@crestcom.cz</w:t>
        </w:r>
      </w:hyperlink>
      <w:r w:rsidRPr="00F70A73">
        <w:rPr>
          <w:b w:val="0"/>
          <w:bCs w:val="0"/>
          <w:lang w:val="de-DE"/>
        </w:rPr>
        <w:t xml:space="preserve"> </w:t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  <w:t xml:space="preserve">e- mail: </w:t>
      </w:r>
      <w:hyperlink r:id="rId11" w:history="1">
        <w:r w:rsidRPr="00F70A73">
          <w:rPr>
            <w:rStyle w:val="Hypertextovodkaz"/>
            <w:b w:val="0"/>
            <w:bCs w:val="0"/>
            <w:lang w:val="de-DE"/>
          </w:rPr>
          <w:t>kamila.cadkova@crestcom.cz</w:t>
        </w:r>
      </w:hyperlink>
      <w:r w:rsidRPr="00F70A73">
        <w:rPr>
          <w:b w:val="0"/>
          <w:bCs w:val="0"/>
          <w:lang w:val="de-DE"/>
        </w:rPr>
        <w:t xml:space="preserve"> </w:t>
      </w:r>
    </w:p>
    <w:p w14:paraId="745E2B96" w14:textId="77777777" w:rsidR="003B0B9B" w:rsidRDefault="00CF0EAD" w:rsidP="003B0B9B">
      <w:pPr>
        <w:pStyle w:val="Contact"/>
        <w:rPr>
          <w:b w:val="0"/>
          <w:bCs w:val="0"/>
        </w:rPr>
      </w:pPr>
      <w:hyperlink r:id="rId12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7CD18B62" w14:textId="77777777" w:rsidR="000D2114" w:rsidRDefault="000D2114" w:rsidP="000D21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b/>
          <w:bCs/>
          <w:color w:val="425254"/>
          <w:lang w:val="en-US"/>
        </w:rPr>
        <w:t>CBRE</w:t>
      </w:r>
      <w:r>
        <w:rPr>
          <w:rStyle w:val="eop"/>
          <w:b/>
          <w:bCs/>
          <w:color w:val="425254"/>
        </w:rPr>
        <w:t> </w:t>
      </w:r>
    </w:p>
    <w:p w14:paraId="0DDD333A" w14:textId="77777777" w:rsidR="000D2114" w:rsidRDefault="000D2114" w:rsidP="000D21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color w:val="425254"/>
          <w:lang w:val="en-US"/>
        </w:rPr>
        <w:t xml:space="preserve">Renata Mrázová, Communication Manager, +420 604 308 765, </w:t>
      </w:r>
      <w:hyperlink r:id="rId13" w:tgtFrame="_blank" w:history="1">
        <w:r>
          <w:rPr>
            <w:rStyle w:val="normaltextrun"/>
            <w:color w:val="80BBAD"/>
            <w:u w:val="single"/>
            <w:lang w:val="en-US"/>
          </w:rPr>
          <w:t>renata.mrazova@cbre.com</w:t>
        </w:r>
      </w:hyperlink>
      <w:r>
        <w:rPr>
          <w:rStyle w:val="normaltextrun"/>
          <w:color w:val="425254"/>
          <w:lang w:val="en-US"/>
        </w:rPr>
        <w:t> </w:t>
      </w:r>
      <w:r>
        <w:rPr>
          <w:rStyle w:val="eop"/>
          <w:b/>
          <w:bCs/>
          <w:color w:val="425254"/>
        </w:rPr>
        <w:t> </w:t>
      </w:r>
    </w:p>
    <w:p w14:paraId="7A02FF06" w14:textId="76E7481F" w:rsidR="000D2114" w:rsidRDefault="000D2114" w:rsidP="000D21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105BAA">
        <w:rPr>
          <w:rStyle w:val="normaltextrun"/>
          <w:color w:val="425254"/>
        </w:rPr>
        <w:t xml:space="preserve">CBRE </w:t>
      </w:r>
      <w:r w:rsidRPr="00105BAA">
        <w:rPr>
          <w:rStyle w:val="spellingerror"/>
          <w:rFonts w:ascii="Segoe UI" w:hAnsi="Segoe UI" w:cs="Segoe UI"/>
          <w:color w:val="425254"/>
        </w:rPr>
        <w:t>Česká</w:t>
      </w:r>
      <w:r w:rsidRPr="00105BAA">
        <w:rPr>
          <w:rStyle w:val="normaltextrun"/>
          <w:color w:val="425254"/>
        </w:rPr>
        <w:t xml:space="preserve"> </w:t>
      </w:r>
      <w:r w:rsidRPr="00105BAA">
        <w:rPr>
          <w:rStyle w:val="spellingerror"/>
          <w:color w:val="425254"/>
        </w:rPr>
        <w:t>republika</w:t>
      </w:r>
      <w:r w:rsidRPr="00105BAA">
        <w:rPr>
          <w:rStyle w:val="normaltextrun"/>
          <w:color w:val="1F497D"/>
        </w:rPr>
        <w:t> </w:t>
      </w:r>
      <w:hyperlink r:id="rId14" w:tgtFrame="_blank" w:history="1">
        <w:r w:rsidRPr="00105BAA">
          <w:rPr>
            <w:rStyle w:val="normaltextrun"/>
            <w:color w:val="7FBBAD"/>
          </w:rPr>
          <w:t>Facebook</w:t>
        </w:r>
      </w:hyperlink>
      <w:r w:rsidRPr="00105BAA">
        <w:rPr>
          <w:rStyle w:val="normaltextrun"/>
          <w:color w:val="7FBBAD"/>
        </w:rPr>
        <w:t xml:space="preserve">, </w:t>
      </w:r>
      <w:hyperlink r:id="rId15" w:history="1">
        <w:r w:rsidRPr="00105BAA">
          <w:rPr>
            <w:rStyle w:val="Hypertextovodkaz"/>
          </w:rPr>
          <w:t>LinkedIn</w:t>
        </w:r>
      </w:hyperlink>
      <w:r w:rsidRPr="00105BAA">
        <w:rPr>
          <w:rStyle w:val="normaltextrun"/>
          <w:color w:val="7FBBAD"/>
        </w:rPr>
        <w:t xml:space="preserve">, </w:t>
      </w:r>
      <w:hyperlink r:id="rId16" w:tgtFrame="_blank" w:history="1">
        <w:r w:rsidRPr="00105BAA">
          <w:rPr>
            <w:rStyle w:val="normaltextrun"/>
            <w:color w:val="7FBBAD"/>
          </w:rPr>
          <w:t>Instagram</w:t>
        </w:r>
      </w:hyperlink>
      <w:r>
        <w:rPr>
          <w:rStyle w:val="eop"/>
          <w:b/>
          <w:bCs/>
          <w:color w:val="425254"/>
        </w:rPr>
        <w:t> </w:t>
      </w:r>
    </w:p>
    <w:p w14:paraId="5FFE89E8" w14:textId="77777777" w:rsidR="000D2114" w:rsidRDefault="000D2114" w:rsidP="000D21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>
        <w:rPr>
          <w:rStyle w:val="eop"/>
          <w:color w:val="425254"/>
        </w:rPr>
        <w:t> </w:t>
      </w:r>
    </w:p>
    <w:p w14:paraId="42FD6585" w14:textId="77777777" w:rsidR="000D2114" w:rsidRDefault="000D2114" w:rsidP="000D21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7F8481"/>
          <w:sz w:val="18"/>
          <w:szCs w:val="18"/>
        </w:rPr>
      </w:pPr>
      <w:r w:rsidRPr="00252027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6A027E0E" w14:textId="3E6B0D9B" w:rsidR="00A90A3A" w:rsidRPr="00105BAA" w:rsidRDefault="000D2114" w:rsidP="007B61E3">
      <w:pPr>
        <w:pStyle w:val="Boilerplate"/>
        <w:jc w:val="both"/>
        <w:rPr>
          <w:rFonts w:ascii="Futura Lt BT Light" w:hAnsi="Futura Lt BT Light"/>
          <w:lang w:val="cs-CZ"/>
        </w:rPr>
      </w:pPr>
      <w:r w:rsidRPr="00252027">
        <w:rPr>
          <w:rStyle w:val="normaltextrun"/>
          <w:rFonts w:cs="Segoe UI"/>
          <w:color w:val="7F8481"/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2021). S</w:t>
      </w:r>
      <w:r w:rsidRPr="00252027">
        <w:rPr>
          <w:rStyle w:val="normaltextrun"/>
          <w:rFonts w:ascii="Arial" w:hAnsi="Arial" w:cs="Arial"/>
          <w:color w:val="7F8481"/>
          <w:lang w:val="cs-CZ"/>
        </w:rPr>
        <w:t> </w:t>
      </w:r>
      <w:r w:rsidRPr="00252027">
        <w:rPr>
          <w:rStyle w:val="normaltextrun"/>
          <w:rFonts w:cs="Segoe UI"/>
          <w:color w:val="7F8481"/>
          <w:lang w:val="cs-CZ"/>
        </w:rPr>
        <w:t>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ce ne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ž</w:t>
      </w:r>
      <w:r w:rsidRPr="00252027">
        <w:rPr>
          <w:rStyle w:val="normaltextrun"/>
          <w:rFonts w:cs="Segoe UI"/>
          <w:color w:val="7F8481"/>
          <w:lang w:val="cs-CZ"/>
        </w:rPr>
        <w:t xml:space="preserve"> 100 000 zam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ě</w:t>
      </w:r>
      <w:r w:rsidRPr="00252027">
        <w:rPr>
          <w:rStyle w:val="normaltextrun"/>
          <w:rFonts w:cs="Segoe UI"/>
          <w:color w:val="7F8481"/>
          <w:lang w:val="cs-CZ"/>
        </w:rPr>
        <w:t>stnanci poskytuje slu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ž</w:t>
      </w:r>
      <w:r w:rsidRPr="00252027">
        <w:rPr>
          <w:rStyle w:val="normaltextrun"/>
          <w:rFonts w:cs="Segoe UI"/>
          <w:color w:val="7F8481"/>
          <w:lang w:val="cs-CZ"/>
        </w:rPr>
        <w:t>by majitel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ů</w:t>
      </w:r>
      <w:r w:rsidRPr="00252027">
        <w:rPr>
          <w:rStyle w:val="normaltextrun"/>
          <w:rFonts w:cs="Segoe UI"/>
          <w:color w:val="7F8481"/>
          <w:lang w:val="cs-CZ"/>
        </w:rPr>
        <w:t>m nemovitost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, investor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ů</w:t>
      </w:r>
      <w:r w:rsidRPr="00252027">
        <w:rPr>
          <w:rStyle w:val="normaltextrun"/>
          <w:rFonts w:cs="Segoe UI"/>
          <w:color w:val="7F8481"/>
          <w:lang w:val="cs-CZ"/>
        </w:rPr>
        <w:t>m a n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á</w:t>
      </w:r>
      <w:r w:rsidRPr="00252027">
        <w:rPr>
          <w:rStyle w:val="normaltextrun"/>
          <w:rFonts w:cs="Segoe UI"/>
          <w:color w:val="7F8481"/>
          <w:lang w:val="cs-CZ"/>
        </w:rPr>
        <w:t>jemn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k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ů</w:t>
      </w:r>
      <w:r w:rsidRPr="00252027">
        <w:rPr>
          <w:rStyle w:val="normaltextrun"/>
          <w:rFonts w:cs="Segoe UI"/>
          <w:color w:val="7F8481"/>
          <w:lang w:val="cs-CZ"/>
        </w:rPr>
        <w:t>m ve 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ce ne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ž</w:t>
      </w:r>
      <w:r w:rsidRPr="00252027">
        <w:rPr>
          <w:rStyle w:val="normaltextrun"/>
          <w:rFonts w:cs="Segoe UI"/>
          <w:color w:val="7F8481"/>
          <w:lang w:val="cs-CZ"/>
        </w:rPr>
        <w:t xml:space="preserve"> 100 zem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ch sv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ě</w:t>
      </w:r>
      <w:r w:rsidRPr="00252027">
        <w:rPr>
          <w:rStyle w:val="normaltextrun"/>
          <w:rFonts w:cs="Segoe UI"/>
          <w:color w:val="7F8481"/>
          <w:lang w:val="cs-CZ"/>
        </w:rPr>
        <w:t>ta. Společnost CBRE poskytuje širokou škálu integrovaných služeb od správy a</w:t>
      </w:r>
      <w:r w:rsidRPr="00252027">
        <w:rPr>
          <w:rStyle w:val="normaltextrun"/>
          <w:rFonts w:ascii="Arial" w:hAnsi="Arial" w:cs="Arial"/>
          <w:color w:val="7F8481"/>
          <w:lang w:val="cs-CZ"/>
        </w:rPr>
        <w:t> 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ú</w:t>
      </w:r>
      <w:r w:rsidRPr="00252027">
        <w:rPr>
          <w:rStyle w:val="normaltextrun"/>
          <w:rFonts w:cs="Segoe UI"/>
          <w:color w:val="7F8481"/>
          <w:lang w:val="cs-CZ"/>
        </w:rPr>
        <w:t>dr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ž</w:t>
      </w:r>
      <w:r w:rsidRPr="00252027">
        <w:rPr>
          <w:rStyle w:val="normaltextrun"/>
          <w:rFonts w:cs="Segoe UI"/>
          <w:color w:val="7F8481"/>
          <w:lang w:val="cs-CZ"/>
        </w:rPr>
        <w:t>by nemovitost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, obchodn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ch transakc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, projektov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é</w:t>
      </w:r>
      <w:r w:rsidRPr="00252027">
        <w:rPr>
          <w:rStyle w:val="normaltextrun"/>
          <w:rFonts w:cs="Segoe UI"/>
          <w:color w:val="7F8481"/>
          <w:lang w:val="cs-CZ"/>
        </w:rPr>
        <w:t>ho managementu, investi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č</w:t>
      </w:r>
      <w:r w:rsidRPr="00252027">
        <w:rPr>
          <w:rStyle w:val="normaltextrun"/>
          <w:rFonts w:cs="Segoe UI"/>
          <w:color w:val="7F8481"/>
          <w:lang w:val="cs-CZ"/>
        </w:rPr>
        <w:t>n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ho managementu p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ř</w:t>
      </w:r>
      <w:r w:rsidRPr="00252027">
        <w:rPr>
          <w:rStyle w:val="normaltextrun"/>
          <w:rFonts w:cs="Segoe UI"/>
          <w:color w:val="7F8481"/>
          <w:lang w:val="cs-CZ"/>
        </w:rPr>
        <w:t>es oce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ň</w:t>
      </w:r>
      <w:r w:rsidRPr="00252027">
        <w:rPr>
          <w:rStyle w:val="normaltextrun"/>
          <w:rFonts w:cs="Segoe UI"/>
          <w:color w:val="7F8481"/>
          <w:lang w:val="cs-CZ"/>
        </w:rPr>
        <w:t>ov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á</w:t>
      </w:r>
      <w:r w:rsidRPr="00252027">
        <w:rPr>
          <w:rStyle w:val="normaltextrun"/>
          <w:rFonts w:cs="Segoe UI"/>
          <w:color w:val="7F8481"/>
          <w:lang w:val="cs-CZ"/>
        </w:rPr>
        <w:t>n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 xml:space="preserve"> nemovitost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, pron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á</w:t>
      </w:r>
      <w:r w:rsidRPr="00252027">
        <w:rPr>
          <w:rStyle w:val="normaltextrun"/>
          <w:rFonts w:cs="Segoe UI"/>
          <w:color w:val="7F8481"/>
          <w:lang w:val="cs-CZ"/>
        </w:rPr>
        <w:t>jmu a prodeje nemovitost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, strategick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é</w:t>
      </w:r>
      <w:r w:rsidRPr="00252027">
        <w:rPr>
          <w:rStyle w:val="normaltextrun"/>
          <w:rFonts w:cs="Segoe UI"/>
          <w:color w:val="7F8481"/>
          <w:lang w:val="cs-CZ"/>
        </w:rPr>
        <w:t>ho poradenstv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 xml:space="preserve"> a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ž</w:t>
      </w:r>
      <w:r w:rsidRPr="00252027">
        <w:rPr>
          <w:rStyle w:val="normaltextrun"/>
          <w:rFonts w:cs="Segoe UI"/>
          <w:color w:val="7F8481"/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 w:rsidRPr="00252027">
        <w:rPr>
          <w:rStyle w:val="normaltextrun"/>
          <w:rFonts w:cs="Segoe UI"/>
          <w:color w:val="7F8481"/>
          <w:sz w:val="16"/>
          <w:szCs w:val="16"/>
          <w:vertAlign w:val="superscript"/>
          <w:lang w:val="cs-CZ"/>
        </w:rPr>
        <w:t>2</w:t>
      </w:r>
      <w:r w:rsidRPr="00252027">
        <w:rPr>
          <w:rStyle w:val="normaltextrun"/>
          <w:rFonts w:cs="Segoe UI"/>
          <w:color w:val="7F8481"/>
          <w:lang w:val="cs-CZ"/>
        </w:rPr>
        <w:t>. Pro</w:t>
      </w:r>
      <w:r w:rsidRPr="00252027">
        <w:rPr>
          <w:rStyle w:val="normaltextrun"/>
          <w:rFonts w:ascii="Arial" w:hAnsi="Arial" w:cs="Arial"/>
          <w:color w:val="7F8481"/>
          <w:lang w:val="cs-CZ"/>
        </w:rPr>
        <w:t> </w:t>
      </w:r>
      <w:r w:rsidRPr="00252027">
        <w:rPr>
          <w:rStyle w:val="normaltextrun"/>
          <w:rFonts w:cs="Segoe UI"/>
          <w:color w:val="7F8481"/>
          <w:lang w:val="cs-CZ"/>
        </w:rPr>
        <w:t>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>ce informac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í</w:t>
      </w:r>
      <w:r w:rsidRPr="00252027">
        <w:rPr>
          <w:rStyle w:val="normaltextrun"/>
          <w:rFonts w:cs="Segoe UI"/>
          <w:color w:val="7F8481"/>
          <w:lang w:val="cs-CZ"/>
        </w:rPr>
        <w:t xml:space="preserve"> nav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š</w:t>
      </w:r>
      <w:r w:rsidRPr="00252027">
        <w:rPr>
          <w:rStyle w:val="normaltextrun"/>
          <w:rFonts w:cs="Segoe UI"/>
          <w:color w:val="7F8481"/>
          <w:lang w:val="cs-CZ"/>
        </w:rPr>
        <w:t>tivte internetov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é</w:t>
      </w:r>
      <w:r w:rsidRPr="00252027">
        <w:rPr>
          <w:rStyle w:val="normaltextrun"/>
          <w:rFonts w:cs="Segoe UI"/>
          <w:color w:val="7F8481"/>
          <w:lang w:val="cs-CZ"/>
        </w:rPr>
        <w:t xml:space="preserve"> str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á</w:t>
      </w:r>
      <w:r w:rsidRPr="00252027">
        <w:rPr>
          <w:rStyle w:val="normaltextrun"/>
          <w:rFonts w:cs="Segoe UI"/>
          <w:color w:val="7F8481"/>
          <w:lang w:val="cs-CZ"/>
        </w:rPr>
        <w:t>nky spole</w:t>
      </w:r>
      <w:r w:rsidRPr="00252027">
        <w:rPr>
          <w:rStyle w:val="normaltextrun"/>
          <w:rFonts w:ascii="Segoe UI" w:hAnsi="Segoe UI" w:cs="Segoe UI"/>
          <w:color w:val="7F8481"/>
          <w:lang w:val="cs-CZ"/>
        </w:rPr>
        <w:t>č</w:t>
      </w:r>
      <w:r w:rsidRPr="00252027">
        <w:rPr>
          <w:rStyle w:val="normaltextrun"/>
          <w:rFonts w:cs="Segoe UI"/>
          <w:color w:val="7F8481"/>
          <w:lang w:val="cs-CZ"/>
        </w:rPr>
        <w:t xml:space="preserve">nosti na </w:t>
      </w:r>
      <w:hyperlink r:id="rId17" w:tgtFrame="_blank" w:history="1">
        <w:r w:rsidRPr="00252027">
          <w:rPr>
            <w:rStyle w:val="normaltextrun"/>
            <w:rFonts w:cs="Segoe UI"/>
            <w:color w:val="80BBAD"/>
            <w:u w:val="single"/>
            <w:lang w:val="cs-CZ"/>
          </w:rPr>
          <w:t>www.cbre.cz</w:t>
        </w:r>
      </w:hyperlink>
      <w:r w:rsidRPr="00252027">
        <w:rPr>
          <w:rStyle w:val="normaltextrun"/>
          <w:rFonts w:cs="Segoe UI"/>
          <w:color w:val="7F8481"/>
          <w:lang w:val="cs-CZ"/>
        </w:rPr>
        <w:t>.</w:t>
      </w:r>
      <w:r w:rsidRPr="00252027">
        <w:rPr>
          <w:rStyle w:val="eop"/>
          <w:rFonts w:cs="Segoe UI"/>
          <w:color w:val="7F8481"/>
          <w:lang w:val="cs-CZ"/>
        </w:rPr>
        <w:t> </w:t>
      </w:r>
      <w:r w:rsidR="00CD438A">
        <w:rPr>
          <w:lang w:val="cs-CZ"/>
        </w:rPr>
        <w:t xml:space="preserve">V oblasti udržitelnosti a ESG je CBRE jedinou společností v oboru komerčních realitních služeb, která je zahrnuta ve světovém indexu </w:t>
      </w:r>
      <w:hyperlink r:id="rId18" w:anchor="DJSI_World_Index" w:history="1">
        <w:r w:rsidR="00CD438A">
          <w:rPr>
            <w:rStyle w:val="Hypertextovodkaz"/>
            <w:lang w:val="cs-CZ"/>
          </w:rPr>
          <w:t xml:space="preserve">Dow Jones Sustainability </w:t>
        </w:r>
        <w:r w:rsidR="00CD438A" w:rsidRPr="003F0389">
          <w:rPr>
            <w:rStyle w:val="Hypertextovodkaz"/>
            <w:lang w:val="cs-CZ"/>
          </w:rPr>
          <w:t>World Index</w:t>
        </w:r>
      </w:hyperlink>
      <w:r w:rsidR="00CD438A">
        <w:rPr>
          <w:lang w:val="cs-CZ"/>
        </w:rPr>
        <w:t>. Ten posuzuje udržitelnost významných společností podle jejich environmentálního, společenského a ekonomického působení. V roce 2020 se CBRE zavázala k dosažení nulových emisí uhlíku do roku 2040.</w:t>
      </w:r>
    </w:p>
    <w:sectPr w:rsidR="00A90A3A" w:rsidRPr="00105BAA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4C85" w16cex:dateUtc="2022-12-05T09:55:00Z"/>
  <w16cex:commentExtensible w16cex:durableId="27384E70" w16cex:dateUtc="2022-12-05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83BA3" w16cid:durableId="27384C85"/>
  <w16cid:commentId w16cid:paraId="33CA1ACD" w16cid:durableId="27384E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FB949" w14:textId="77777777" w:rsidR="00CF0EAD" w:rsidRDefault="00CF0EAD" w:rsidP="00C63036">
      <w:r>
        <w:separator/>
      </w:r>
    </w:p>
  </w:endnote>
  <w:endnote w:type="continuationSeparator" w:id="0">
    <w:p w14:paraId="6C661AEA" w14:textId="77777777" w:rsidR="00CF0EAD" w:rsidRDefault="00CF0EAD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3B023" w14:textId="77777777" w:rsidR="00CF0EAD" w:rsidRDefault="00CF0EAD" w:rsidP="00C63036">
      <w:r>
        <w:separator/>
      </w:r>
    </w:p>
  </w:footnote>
  <w:footnote w:type="continuationSeparator" w:id="0">
    <w:p w14:paraId="77C23F72" w14:textId="77777777" w:rsidR="00CF0EAD" w:rsidRDefault="00CF0EAD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70788BEB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4F704D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448"/>
    <w:multiLevelType w:val="hybridMultilevel"/>
    <w:tmpl w:val="4C10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62D8"/>
    <w:multiLevelType w:val="hybridMultilevel"/>
    <w:tmpl w:val="C636C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0AF"/>
    <w:multiLevelType w:val="multilevel"/>
    <w:tmpl w:val="88D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165A"/>
    <w:rsid w:val="000022AA"/>
    <w:rsid w:val="000035FD"/>
    <w:rsid w:val="000044FC"/>
    <w:rsid w:val="00007A69"/>
    <w:rsid w:val="00052763"/>
    <w:rsid w:val="00064B63"/>
    <w:rsid w:val="0008471B"/>
    <w:rsid w:val="00084CE6"/>
    <w:rsid w:val="00090D65"/>
    <w:rsid w:val="000A101E"/>
    <w:rsid w:val="000A2276"/>
    <w:rsid w:val="000A542D"/>
    <w:rsid w:val="000B18BE"/>
    <w:rsid w:val="000B3DED"/>
    <w:rsid w:val="000C488F"/>
    <w:rsid w:val="000D2114"/>
    <w:rsid w:val="000E20A0"/>
    <w:rsid w:val="000E3EC9"/>
    <w:rsid w:val="000E526C"/>
    <w:rsid w:val="000F2573"/>
    <w:rsid w:val="000F5AF1"/>
    <w:rsid w:val="00103ED7"/>
    <w:rsid w:val="00105BAA"/>
    <w:rsid w:val="001109F5"/>
    <w:rsid w:val="00112CDA"/>
    <w:rsid w:val="00123F02"/>
    <w:rsid w:val="00130C4F"/>
    <w:rsid w:val="00140E0A"/>
    <w:rsid w:val="001418B9"/>
    <w:rsid w:val="00147E07"/>
    <w:rsid w:val="00155C10"/>
    <w:rsid w:val="00175750"/>
    <w:rsid w:val="00184F06"/>
    <w:rsid w:val="00185DDD"/>
    <w:rsid w:val="0019198D"/>
    <w:rsid w:val="001B0E42"/>
    <w:rsid w:val="001B1B61"/>
    <w:rsid w:val="001B7484"/>
    <w:rsid w:val="001C31F4"/>
    <w:rsid w:val="001C5093"/>
    <w:rsid w:val="001C6B20"/>
    <w:rsid w:val="001D4DB8"/>
    <w:rsid w:val="001D6761"/>
    <w:rsid w:val="001D7195"/>
    <w:rsid w:val="001E195B"/>
    <w:rsid w:val="001E4CFD"/>
    <w:rsid w:val="00200015"/>
    <w:rsid w:val="002012F9"/>
    <w:rsid w:val="002018AE"/>
    <w:rsid w:val="00216C66"/>
    <w:rsid w:val="00221341"/>
    <w:rsid w:val="002242E7"/>
    <w:rsid w:val="00226900"/>
    <w:rsid w:val="002337B4"/>
    <w:rsid w:val="00235576"/>
    <w:rsid w:val="002468CB"/>
    <w:rsid w:val="00252027"/>
    <w:rsid w:val="00252DD9"/>
    <w:rsid w:val="00253C27"/>
    <w:rsid w:val="002616D9"/>
    <w:rsid w:val="00262BA0"/>
    <w:rsid w:val="00266A9E"/>
    <w:rsid w:val="002833A5"/>
    <w:rsid w:val="00290CE4"/>
    <w:rsid w:val="00292542"/>
    <w:rsid w:val="00293385"/>
    <w:rsid w:val="002A224C"/>
    <w:rsid w:val="002A3A9C"/>
    <w:rsid w:val="002A6F2B"/>
    <w:rsid w:val="002B0EEF"/>
    <w:rsid w:val="002B1350"/>
    <w:rsid w:val="002B51D3"/>
    <w:rsid w:val="002B75CB"/>
    <w:rsid w:val="002C11BA"/>
    <w:rsid w:val="002C54BE"/>
    <w:rsid w:val="002C65EE"/>
    <w:rsid w:val="002D0938"/>
    <w:rsid w:val="002D13F6"/>
    <w:rsid w:val="002E3D27"/>
    <w:rsid w:val="002E7BA6"/>
    <w:rsid w:val="002F2333"/>
    <w:rsid w:val="002F42F6"/>
    <w:rsid w:val="002F596E"/>
    <w:rsid w:val="0030135B"/>
    <w:rsid w:val="00301C0B"/>
    <w:rsid w:val="00303571"/>
    <w:rsid w:val="00313FE7"/>
    <w:rsid w:val="003346C8"/>
    <w:rsid w:val="00336BC6"/>
    <w:rsid w:val="003412B8"/>
    <w:rsid w:val="00345E0C"/>
    <w:rsid w:val="00356A04"/>
    <w:rsid w:val="00364ACC"/>
    <w:rsid w:val="003722D0"/>
    <w:rsid w:val="003851FD"/>
    <w:rsid w:val="0038704C"/>
    <w:rsid w:val="0039547D"/>
    <w:rsid w:val="003B0B9B"/>
    <w:rsid w:val="003B44F1"/>
    <w:rsid w:val="003B7238"/>
    <w:rsid w:val="003E0B69"/>
    <w:rsid w:val="003E0C52"/>
    <w:rsid w:val="003F0389"/>
    <w:rsid w:val="003F10DC"/>
    <w:rsid w:val="003F2F6A"/>
    <w:rsid w:val="00403E6A"/>
    <w:rsid w:val="00413715"/>
    <w:rsid w:val="004331DB"/>
    <w:rsid w:val="0043373E"/>
    <w:rsid w:val="004355CE"/>
    <w:rsid w:val="00437859"/>
    <w:rsid w:val="00437C00"/>
    <w:rsid w:val="00451953"/>
    <w:rsid w:val="00452EE1"/>
    <w:rsid w:val="00453354"/>
    <w:rsid w:val="00460F1F"/>
    <w:rsid w:val="00461837"/>
    <w:rsid w:val="004641E3"/>
    <w:rsid w:val="0047102F"/>
    <w:rsid w:val="0047211C"/>
    <w:rsid w:val="0047518D"/>
    <w:rsid w:val="0048078C"/>
    <w:rsid w:val="004818CB"/>
    <w:rsid w:val="004849E0"/>
    <w:rsid w:val="00485562"/>
    <w:rsid w:val="00493AC8"/>
    <w:rsid w:val="004A3F96"/>
    <w:rsid w:val="004B302F"/>
    <w:rsid w:val="004C4C0A"/>
    <w:rsid w:val="004D17DC"/>
    <w:rsid w:val="004E2CEA"/>
    <w:rsid w:val="004F58B1"/>
    <w:rsid w:val="00502D43"/>
    <w:rsid w:val="0050789A"/>
    <w:rsid w:val="00510097"/>
    <w:rsid w:val="00510418"/>
    <w:rsid w:val="005222EB"/>
    <w:rsid w:val="005274A0"/>
    <w:rsid w:val="005345CE"/>
    <w:rsid w:val="00534E1E"/>
    <w:rsid w:val="0054772F"/>
    <w:rsid w:val="00552462"/>
    <w:rsid w:val="00552C8E"/>
    <w:rsid w:val="00553FB3"/>
    <w:rsid w:val="00554FEE"/>
    <w:rsid w:val="0055544D"/>
    <w:rsid w:val="00555F23"/>
    <w:rsid w:val="00561FC2"/>
    <w:rsid w:val="00576FD6"/>
    <w:rsid w:val="00581026"/>
    <w:rsid w:val="005854C6"/>
    <w:rsid w:val="00594C89"/>
    <w:rsid w:val="00596A8D"/>
    <w:rsid w:val="005B0417"/>
    <w:rsid w:val="005B3DBC"/>
    <w:rsid w:val="005C1891"/>
    <w:rsid w:val="005C3708"/>
    <w:rsid w:val="005C55A1"/>
    <w:rsid w:val="005C6B0B"/>
    <w:rsid w:val="005C7F5E"/>
    <w:rsid w:val="005D0F4B"/>
    <w:rsid w:val="005D1996"/>
    <w:rsid w:val="005D25F7"/>
    <w:rsid w:val="005D6078"/>
    <w:rsid w:val="005D6D73"/>
    <w:rsid w:val="005F7F99"/>
    <w:rsid w:val="00601627"/>
    <w:rsid w:val="00603883"/>
    <w:rsid w:val="00611C18"/>
    <w:rsid w:val="00613270"/>
    <w:rsid w:val="00620ADE"/>
    <w:rsid w:val="00631F1A"/>
    <w:rsid w:val="0063267C"/>
    <w:rsid w:val="00635147"/>
    <w:rsid w:val="006408D7"/>
    <w:rsid w:val="00641EFA"/>
    <w:rsid w:val="006431E9"/>
    <w:rsid w:val="00645DD1"/>
    <w:rsid w:val="00662374"/>
    <w:rsid w:val="00665E96"/>
    <w:rsid w:val="006738F2"/>
    <w:rsid w:val="006775F1"/>
    <w:rsid w:val="00677962"/>
    <w:rsid w:val="00685808"/>
    <w:rsid w:val="0068745D"/>
    <w:rsid w:val="00690DBA"/>
    <w:rsid w:val="00691604"/>
    <w:rsid w:val="006A058D"/>
    <w:rsid w:val="006A06E4"/>
    <w:rsid w:val="006A0EEA"/>
    <w:rsid w:val="006A146C"/>
    <w:rsid w:val="006B3453"/>
    <w:rsid w:val="006C2970"/>
    <w:rsid w:val="006C32FD"/>
    <w:rsid w:val="006D0EBE"/>
    <w:rsid w:val="006D5E26"/>
    <w:rsid w:val="006D7BBB"/>
    <w:rsid w:val="006E7F6A"/>
    <w:rsid w:val="006F3404"/>
    <w:rsid w:val="006F397C"/>
    <w:rsid w:val="0070330E"/>
    <w:rsid w:val="00712A12"/>
    <w:rsid w:val="00713A07"/>
    <w:rsid w:val="00716A5B"/>
    <w:rsid w:val="00720E89"/>
    <w:rsid w:val="00722C2A"/>
    <w:rsid w:val="00736A87"/>
    <w:rsid w:val="00736F66"/>
    <w:rsid w:val="007401BD"/>
    <w:rsid w:val="00742D8F"/>
    <w:rsid w:val="00744015"/>
    <w:rsid w:val="00744210"/>
    <w:rsid w:val="00756FA2"/>
    <w:rsid w:val="007646FC"/>
    <w:rsid w:val="0077191A"/>
    <w:rsid w:val="00772479"/>
    <w:rsid w:val="00782FA6"/>
    <w:rsid w:val="007874F9"/>
    <w:rsid w:val="00796302"/>
    <w:rsid w:val="007A24EC"/>
    <w:rsid w:val="007A29ED"/>
    <w:rsid w:val="007A7D89"/>
    <w:rsid w:val="007B27A1"/>
    <w:rsid w:val="007B61E3"/>
    <w:rsid w:val="007B693F"/>
    <w:rsid w:val="007B71B4"/>
    <w:rsid w:val="007C1420"/>
    <w:rsid w:val="007C3E1C"/>
    <w:rsid w:val="007D5CC4"/>
    <w:rsid w:val="007E04C5"/>
    <w:rsid w:val="007E236C"/>
    <w:rsid w:val="007F50B4"/>
    <w:rsid w:val="007F53DE"/>
    <w:rsid w:val="007F6ADA"/>
    <w:rsid w:val="008012E9"/>
    <w:rsid w:val="00801B9E"/>
    <w:rsid w:val="00802A82"/>
    <w:rsid w:val="00815BA5"/>
    <w:rsid w:val="0081608A"/>
    <w:rsid w:val="00821131"/>
    <w:rsid w:val="0082410C"/>
    <w:rsid w:val="008358FE"/>
    <w:rsid w:val="008400DE"/>
    <w:rsid w:val="008419E4"/>
    <w:rsid w:val="00841CC8"/>
    <w:rsid w:val="008558A3"/>
    <w:rsid w:val="00875C5F"/>
    <w:rsid w:val="00880D40"/>
    <w:rsid w:val="00880E64"/>
    <w:rsid w:val="008811A3"/>
    <w:rsid w:val="008919B7"/>
    <w:rsid w:val="008A3472"/>
    <w:rsid w:val="008A49D2"/>
    <w:rsid w:val="008B15D5"/>
    <w:rsid w:val="008B63A2"/>
    <w:rsid w:val="008C3DAD"/>
    <w:rsid w:val="008C506B"/>
    <w:rsid w:val="008C6233"/>
    <w:rsid w:val="008D6344"/>
    <w:rsid w:val="008E1C7D"/>
    <w:rsid w:val="008E2624"/>
    <w:rsid w:val="008F1D24"/>
    <w:rsid w:val="008F2926"/>
    <w:rsid w:val="008F4915"/>
    <w:rsid w:val="008F4E12"/>
    <w:rsid w:val="00901160"/>
    <w:rsid w:val="0090207E"/>
    <w:rsid w:val="00910A07"/>
    <w:rsid w:val="00920136"/>
    <w:rsid w:val="00921A73"/>
    <w:rsid w:val="00927789"/>
    <w:rsid w:val="00927FC7"/>
    <w:rsid w:val="009362CD"/>
    <w:rsid w:val="0094537E"/>
    <w:rsid w:val="0094577D"/>
    <w:rsid w:val="00946247"/>
    <w:rsid w:val="0095013A"/>
    <w:rsid w:val="00952236"/>
    <w:rsid w:val="009524E2"/>
    <w:rsid w:val="00955336"/>
    <w:rsid w:val="00956341"/>
    <w:rsid w:val="00956BF0"/>
    <w:rsid w:val="00964794"/>
    <w:rsid w:val="009664C1"/>
    <w:rsid w:val="00970252"/>
    <w:rsid w:val="00973564"/>
    <w:rsid w:val="00981033"/>
    <w:rsid w:val="00987E86"/>
    <w:rsid w:val="0099088C"/>
    <w:rsid w:val="009929CE"/>
    <w:rsid w:val="009A02CB"/>
    <w:rsid w:val="009A3A68"/>
    <w:rsid w:val="009A71DE"/>
    <w:rsid w:val="009B3346"/>
    <w:rsid w:val="009B5E96"/>
    <w:rsid w:val="009D002C"/>
    <w:rsid w:val="009D1580"/>
    <w:rsid w:val="009E52B9"/>
    <w:rsid w:val="009F060F"/>
    <w:rsid w:val="009F2BD2"/>
    <w:rsid w:val="00A00060"/>
    <w:rsid w:val="00A15C2E"/>
    <w:rsid w:val="00A16652"/>
    <w:rsid w:val="00A22C45"/>
    <w:rsid w:val="00A26BF0"/>
    <w:rsid w:val="00A315D3"/>
    <w:rsid w:val="00A331E5"/>
    <w:rsid w:val="00A37920"/>
    <w:rsid w:val="00A468BE"/>
    <w:rsid w:val="00A50BD8"/>
    <w:rsid w:val="00A54820"/>
    <w:rsid w:val="00A54EA7"/>
    <w:rsid w:val="00A55C41"/>
    <w:rsid w:val="00A62813"/>
    <w:rsid w:val="00A67E84"/>
    <w:rsid w:val="00A71B8E"/>
    <w:rsid w:val="00A74C94"/>
    <w:rsid w:val="00A81A70"/>
    <w:rsid w:val="00A90A3A"/>
    <w:rsid w:val="00A9707D"/>
    <w:rsid w:val="00AA0DAC"/>
    <w:rsid w:val="00AA247D"/>
    <w:rsid w:val="00AB7CAE"/>
    <w:rsid w:val="00AC3625"/>
    <w:rsid w:val="00AC4094"/>
    <w:rsid w:val="00AD74CB"/>
    <w:rsid w:val="00AE227C"/>
    <w:rsid w:val="00AE6DC7"/>
    <w:rsid w:val="00AE6F5B"/>
    <w:rsid w:val="00B03BB1"/>
    <w:rsid w:val="00B06A97"/>
    <w:rsid w:val="00B13513"/>
    <w:rsid w:val="00B13646"/>
    <w:rsid w:val="00B26BA2"/>
    <w:rsid w:val="00B333F2"/>
    <w:rsid w:val="00B41360"/>
    <w:rsid w:val="00B44728"/>
    <w:rsid w:val="00B45298"/>
    <w:rsid w:val="00B627CE"/>
    <w:rsid w:val="00B636CF"/>
    <w:rsid w:val="00B738C7"/>
    <w:rsid w:val="00B80130"/>
    <w:rsid w:val="00B803AF"/>
    <w:rsid w:val="00B87EC9"/>
    <w:rsid w:val="00B90463"/>
    <w:rsid w:val="00B95F4E"/>
    <w:rsid w:val="00B979FC"/>
    <w:rsid w:val="00BA3ACA"/>
    <w:rsid w:val="00BA3BB3"/>
    <w:rsid w:val="00BA680C"/>
    <w:rsid w:val="00BB0E9C"/>
    <w:rsid w:val="00BB16F7"/>
    <w:rsid w:val="00BC1202"/>
    <w:rsid w:val="00BC39D8"/>
    <w:rsid w:val="00BC4CF9"/>
    <w:rsid w:val="00BC554C"/>
    <w:rsid w:val="00BD5A3B"/>
    <w:rsid w:val="00BD7F93"/>
    <w:rsid w:val="00BE04EB"/>
    <w:rsid w:val="00BE7B6E"/>
    <w:rsid w:val="00BF4A20"/>
    <w:rsid w:val="00BF6E38"/>
    <w:rsid w:val="00C07B0D"/>
    <w:rsid w:val="00C14498"/>
    <w:rsid w:val="00C15685"/>
    <w:rsid w:val="00C24CFD"/>
    <w:rsid w:val="00C335F4"/>
    <w:rsid w:val="00C336A6"/>
    <w:rsid w:val="00C33F64"/>
    <w:rsid w:val="00C34C75"/>
    <w:rsid w:val="00C427BB"/>
    <w:rsid w:val="00C44791"/>
    <w:rsid w:val="00C47E57"/>
    <w:rsid w:val="00C60D7A"/>
    <w:rsid w:val="00C63036"/>
    <w:rsid w:val="00C6334A"/>
    <w:rsid w:val="00C65301"/>
    <w:rsid w:val="00C74623"/>
    <w:rsid w:val="00C80824"/>
    <w:rsid w:val="00C83135"/>
    <w:rsid w:val="00C840FC"/>
    <w:rsid w:val="00C92B44"/>
    <w:rsid w:val="00C9542E"/>
    <w:rsid w:val="00CA367B"/>
    <w:rsid w:val="00CA62FC"/>
    <w:rsid w:val="00CD01EE"/>
    <w:rsid w:val="00CD4221"/>
    <w:rsid w:val="00CD438A"/>
    <w:rsid w:val="00CF0EAD"/>
    <w:rsid w:val="00D15FA3"/>
    <w:rsid w:val="00D27E0F"/>
    <w:rsid w:val="00D3006F"/>
    <w:rsid w:val="00D30C35"/>
    <w:rsid w:val="00D43E19"/>
    <w:rsid w:val="00D43EBE"/>
    <w:rsid w:val="00D4606C"/>
    <w:rsid w:val="00D66CF5"/>
    <w:rsid w:val="00D724E8"/>
    <w:rsid w:val="00D73DDA"/>
    <w:rsid w:val="00D76255"/>
    <w:rsid w:val="00D842AE"/>
    <w:rsid w:val="00DA0D60"/>
    <w:rsid w:val="00DA1AE9"/>
    <w:rsid w:val="00DA3EDC"/>
    <w:rsid w:val="00DA4602"/>
    <w:rsid w:val="00DA593C"/>
    <w:rsid w:val="00DA5EB6"/>
    <w:rsid w:val="00DB0C59"/>
    <w:rsid w:val="00DB1F29"/>
    <w:rsid w:val="00DB2131"/>
    <w:rsid w:val="00DB7B03"/>
    <w:rsid w:val="00DC0226"/>
    <w:rsid w:val="00DC0EE8"/>
    <w:rsid w:val="00DE3E1B"/>
    <w:rsid w:val="00DE6EB3"/>
    <w:rsid w:val="00DE77BD"/>
    <w:rsid w:val="00DF0C01"/>
    <w:rsid w:val="00DF33D2"/>
    <w:rsid w:val="00E01C37"/>
    <w:rsid w:val="00E01C5F"/>
    <w:rsid w:val="00E02087"/>
    <w:rsid w:val="00E038C3"/>
    <w:rsid w:val="00E0489B"/>
    <w:rsid w:val="00E04E7B"/>
    <w:rsid w:val="00E1167C"/>
    <w:rsid w:val="00E11D59"/>
    <w:rsid w:val="00E166FC"/>
    <w:rsid w:val="00E249DE"/>
    <w:rsid w:val="00E253DC"/>
    <w:rsid w:val="00E263D5"/>
    <w:rsid w:val="00E30CD4"/>
    <w:rsid w:val="00E53CA1"/>
    <w:rsid w:val="00E56275"/>
    <w:rsid w:val="00E60A75"/>
    <w:rsid w:val="00E63FF2"/>
    <w:rsid w:val="00E6671C"/>
    <w:rsid w:val="00E72D16"/>
    <w:rsid w:val="00E73461"/>
    <w:rsid w:val="00E76A8D"/>
    <w:rsid w:val="00E779FA"/>
    <w:rsid w:val="00E80B0D"/>
    <w:rsid w:val="00E83E43"/>
    <w:rsid w:val="00E870B5"/>
    <w:rsid w:val="00E92EB6"/>
    <w:rsid w:val="00E9584B"/>
    <w:rsid w:val="00E971BB"/>
    <w:rsid w:val="00EB0C6A"/>
    <w:rsid w:val="00EB25FC"/>
    <w:rsid w:val="00EB3A75"/>
    <w:rsid w:val="00EB48EE"/>
    <w:rsid w:val="00EB5768"/>
    <w:rsid w:val="00EB7B27"/>
    <w:rsid w:val="00EC114F"/>
    <w:rsid w:val="00EC18D9"/>
    <w:rsid w:val="00ED07DF"/>
    <w:rsid w:val="00ED1394"/>
    <w:rsid w:val="00EE2BA2"/>
    <w:rsid w:val="00EE3377"/>
    <w:rsid w:val="00EF1721"/>
    <w:rsid w:val="00EF1A61"/>
    <w:rsid w:val="00EF28FF"/>
    <w:rsid w:val="00EF473B"/>
    <w:rsid w:val="00EF5499"/>
    <w:rsid w:val="00F051E4"/>
    <w:rsid w:val="00F07545"/>
    <w:rsid w:val="00F121C0"/>
    <w:rsid w:val="00F1322A"/>
    <w:rsid w:val="00F156CA"/>
    <w:rsid w:val="00F1731F"/>
    <w:rsid w:val="00F32121"/>
    <w:rsid w:val="00F359A5"/>
    <w:rsid w:val="00F3656D"/>
    <w:rsid w:val="00F40950"/>
    <w:rsid w:val="00F409FD"/>
    <w:rsid w:val="00F51DB7"/>
    <w:rsid w:val="00F52687"/>
    <w:rsid w:val="00F60134"/>
    <w:rsid w:val="00F70A73"/>
    <w:rsid w:val="00F76BEA"/>
    <w:rsid w:val="00F81642"/>
    <w:rsid w:val="00F93D0C"/>
    <w:rsid w:val="00F95414"/>
    <w:rsid w:val="00FB1853"/>
    <w:rsid w:val="00FB4A3E"/>
    <w:rsid w:val="00FB548F"/>
    <w:rsid w:val="00FC1CC3"/>
    <w:rsid w:val="00FC4442"/>
    <w:rsid w:val="00FC6E1E"/>
    <w:rsid w:val="00FD089C"/>
    <w:rsid w:val="00FD7216"/>
    <w:rsid w:val="00FD7B16"/>
    <w:rsid w:val="00FE3ABF"/>
    <w:rsid w:val="00FE4E94"/>
    <w:rsid w:val="00FF0755"/>
    <w:rsid w:val="00FF60EE"/>
    <w:rsid w:val="00FF6633"/>
    <w:rsid w:val="0205632F"/>
    <w:rsid w:val="03928059"/>
    <w:rsid w:val="03D8F288"/>
    <w:rsid w:val="043F559E"/>
    <w:rsid w:val="0454A81A"/>
    <w:rsid w:val="05D180C2"/>
    <w:rsid w:val="05DCB255"/>
    <w:rsid w:val="075B76DB"/>
    <w:rsid w:val="0852E1AD"/>
    <w:rsid w:val="08D14C23"/>
    <w:rsid w:val="0BE683B7"/>
    <w:rsid w:val="0DC66A56"/>
    <w:rsid w:val="0FC2C5FD"/>
    <w:rsid w:val="0FE92BA1"/>
    <w:rsid w:val="1006CD80"/>
    <w:rsid w:val="1038B00E"/>
    <w:rsid w:val="108F184C"/>
    <w:rsid w:val="10B5DD44"/>
    <w:rsid w:val="118D1A98"/>
    <w:rsid w:val="13611508"/>
    <w:rsid w:val="13EBA14F"/>
    <w:rsid w:val="1590A327"/>
    <w:rsid w:val="169D2A33"/>
    <w:rsid w:val="16F3C8C4"/>
    <w:rsid w:val="1796B74E"/>
    <w:rsid w:val="180F0A1A"/>
    <w:rsid w:val="19D0A9D1"/>
    <w:rsid w:val="1B70F3A6"/>
    <w:rsid w:val="1F5F6683"/>
    <w:rsid w:val="1FD8A771"/>
    <w:rsid w:val="20750AE7"/>
    <w:rsid w:val="20E19945"/>
    <w:rsid w:val="22EF7261"/>
    <w:rsid w:val="23136868"/>
    <w:rsid w:val="23B42009"/>
    <w:rsid w:val="24850AD5"/>
    <w:rsid w:val="251471E5"/>
    <w:rsid w:val="25A22471"/>
    <w:rsid w:val="273FBF0C"/>
    <w:rsid w:val="27AD69A4"/>
    <w:rsid w:val="2879A574"/>
    <w:rsid w:val="294F5482"/>
    <w:rsid w:val="2A7955AA"/>
    <w:rsid w:val="2BA1ADC2"/>
    <w:rsid w:val="2D15072D"/>
    <w:rsid w:val="2D8AEA41"/>
    <w:rsid w:val="2D9DB9EC"/>
    <w:rsid w:val="2E254B7C"/>
    <w:rsid w:val="2F20D544"/>
    <w:rsid w:val="31817AE9"/>
    <w:rsid w:val="31F1AB04"/>
    <w:rsid w:val="32E30A13"/>
    <w:rsid w:val="3338F7EF"/>
    <w:rsid w:val="33F95E88"/>
    <w:rsid w:val="34180BB7"/>
    <w:rsid w:val="343E2BBD"/>
    <w:rsid w:val="348BD855"/>
    <w:rsid w:val="34C74DA1"/>
    <w:rsid w:val="361F41BD"/>
    <w:rsid w:val="36BBFC9B"/>
    <w:rsid w:val="37716EC7"/>
    <w:rsid w:val="37EF680E"/>
    <w:rsid w:val="382BD9A8"/>
    <w:rsid w:val="3839022D"/>
    <w:rsid w:val="38552DAF"/>
    <w:rsid w:val="3932DE93"/>
    <w:rsid w:val="3A62DEE2"/>
    <w:rsid w:val="3A6BD39D"/>
    <w:rsid w:val="3B06EBE7"/>
    <w:rsid w:val="3BB4CF95"/>
    <w:rsid w:val="3C1900B8"/>
    <w:rsid w:val="3D36DF1B"/>
    <w:rsid w:val="3DABC08B"/>
    <w:rsid w:val="3DC0190E"/>
    <w:rsid w:val="3DF4032F"/>
    <w:rsid w:val="3E4AFB6B"/>
    <w:rsid w:val="3F7BF74F"/>
    <w:rsid w:val="40C95F74"/>
    <w:rsid w:val="4224CC92"/>
    <w:rsid w:val="42FE3B84"/>
    <w:rsid w:val="459AEE86"/>
    <w:rsid w:val="464C464E"/>
    <w:rsid w:val="47A2844C"/>
    <w:rsid w:val="48ECDF38"/>
    <w:rsid w:val="48F2C05B"/>
    <w:rsid w:val="49F747E0"/>
    <w:rsid w:val="4A26804C"/>
    <w:rsid w:val="4AD24CE0"/>
    <w:rsid w:val="4B6FA154"/>
    <w:rsid w:val="4B873455"/>
    <w:rsid w:val="4D4C3A9D"/>
    <w:rsid w:val="4DDDD336"/>
    <w:rsid w:val="4DED4A46"/>
    <w:rsid w:val="4E3DCDAC"/>
    <w:rsid w:val="4F7B6EEA"/>
    <w:rsid w:val="50EC9B99"/>
    <w:rsid w:val="51734F8A"/>
    <w:rsid w:val="520B18C6"/>
    <w:rsid w:val="524DAA99"/>
    <w:rsid w:val="529275C6"/>
    <w:rsid w:val="5396D172"/>
    <w:rsid w:val="53F9AEFF"/>
    <w:rsid w:val="5417BCBA"/>
    <w:rsid w:val="5533A33D"/>
    <w:rsid w:val="56635D91"/>
    <w:rsid w:val="56A60EA8"/>
    <w:rsid w:val="59480838"/>
    <w:rsid w:val="5AAD2524"/>
    <w:rsid w:val="5C3919EF"/>
    <w:rsid w:val="5CFA99FD"/>
    <w:rsid w:val="5D2F9E60"/>
    <w:rsid w:val="5D540E2B"/>
    <w:rsid w:val="5DC39833"/>
    <w:rsid w:val="5E60C169"/>
    <w:rsid w:val="5F9E27A8"/>
    <w:rsid w:val="60D67F31"/>
    <w:rsid w:val="617C5084"/>
    <w:rsid w:val="6181EAFF"/>
    <w:rsid w:val="61B04C92"/>
    <w:rsid w:val="61C3E024"/>
    <w:rsid w:val="6353FE16"/>
    <w:rsid w:val="63871FAD"/>
    <w:rsid w:val="63CC647D"/>
    <w:rsid w:val="6649CC99"/>
    <w:rsid w:val="67DDD6C5"/>
    <w:rsid w:val="682CA130"/>
    <w:rsid w:val="68A0B2F5"/>
    <w:rsid w:val="68A80FA9"/>
    <w:rsid w:val="69BD5AEA"/>
    <w:rsid w:val="6DCF261E"/>
    <w:rsid w:val="6E649818"/>
    <w:rsid w:val="6EE6AE9B"/>
    <w:rsid w:val="6F827596"/>
    <w:rsid w:val="6F9D699A"/>
    <w:rsid w:val="70BD084F"/>
    <w:rsid w:val="71391596"/>
    <w:rsid w:val="71398F8F"/>
    <w:rsid w:val="71673EBF"/>
    <w:rsid w:val="739919D3"/>
    <w:rsid w:val="745727AE"/>
    <w:rsid w:val="76070D15"/>
    <w:rsid w:val="76BE6E7A"/>
    <w:rsid w:val="76C75702"/>
    <w:rsid w:val="76CAFDF1"/>
    <w:rsid w:val="7726E1C2"/>
    <w:rsid w:val="7731667A"/>
    <w:rsid w:val="77B3BBE2"/>
    <w:rsid w:val="78B46424"/>
    <w:rsid w:val="791C85EA"/>
    <w:rsid w:val="79B8826A"/>
    <w:rsid w:val="7A9B1C3A"/>
    <w:rsid w:val="7D8C29BC"/>
    <w:rsid w:val="7EE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D6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Date1">
    <w:name w:val="Date1"/>
    <w:basedOn w:val="Standardnpsmoodstavce"/>
    <w:rsid w:val="00713A07"/>
  </w:style>
  <w:style w:type="character" w:customStyle="1" w:styleId="like-count">
    <w:name w:val="like-count"/>
    <w:basedOn w:val="Standardnpsmoodstavce"/>
    <w:rsid w:val="00713A07"/>
  </w:style>
  <w:style w:type="character" w:styleId="Siln">
    <w:name w:val="Strong"/>
    <w:basedOn w:val="Standardnpsmoodstavce"/>
    <w:uiPriority w:val="22"/>
    <w:qFormat/>
    <w:rsid w:val="00713A07"/>
    <w:rPr>
      <w:b/>
      <w:bCs/>
    </w:rPr>
  </w:style>
  <w:style w:type="paragraph" w:styleId="Revize">
    <w:name w:val="Revision"/>
    <w:hidden/>
    <w:uiPriority w:val="99"/>
    <w:semiHidden/>
    <w:rsid w:val="00EB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raph">
    <w:name w:val="paragraph"/>
    <w:basedOn w:val="Normln"/>
    <w:rsid w:val="000D211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D2114"/>
  </w:style>
  <w:style w:type="character" w:customStyle="1" w:styleId="spellingerror">
    <w:name w:val="spellingerror"/>
    <w:basedOn w:val="Standardnpsmoodstavce"/>
    <w:rsid w:val="000D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nata.mrazova@cbre.com" TargetMode="External"/><Relationship Id="rId18" Type="http://schemas.openxmlformats.org/officeDocument/2006/relationships/hyperlink" Target="https://en.wikipedia.org/wiki/Dow_Jones_Sustainability_Indic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a.cadkova@crestcom.cz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ages/CBRE-News/626929170775263?ref=ts&amp;fref=t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31B0B0-218D-4030-915A-A4E6E7504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A2BFC-A7F7-4F92-ABC7-6386193CA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AA274-6034-4639-B60B-20A03AC826C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2</TotalTime>
  <Pages>2</Pages>
  <Words>1069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Mrazova, Renata @ Prague</dc:creator>
  <cp:lastModifiedBy>Denisa Kolaříková</cp:lastModifiedBy>
  <cp:revision>4</cp:revision>
  <cp:lastPrinted>2021-11-11T09:17:00Z</cp:lastPrinted>
  <dcterms:created xsi:type="dcterms:W3CDTF">2022-12-05T11:33:00Z</dcterms:created>
  <dcterms:modified xsi:type="dcterms:W3CDTF">2022-12-05T12:06:00Z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